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1F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Toc10752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内江卫生与健康职业学院</w:t>
      </w:r>
    </w:p>
    <w:p w14:paraId="4F9F48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网站集约化建设服务</w:t>
      </w:r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需求</w:t>
      </w:r>
    </w:p>
    <w:sdt>
      <w:sdtPr>
        <w:rPr>
          <w:rFonts w:hint="eastAsia" w:ascii="仿宋_GB2312" w:hAnsi="仿宋_GB2312" w:eastAsia="仿宋_GB2312" w:cs="仿宋_GB2312"/>
          <w:b/>
          <w:bCs/>
          <w:color w:val="333333"/>
          <w:kern w:val="2"/>
          <w:sz w:val="28"/>
          <w:szCs w:val="28"/>
          <w:lang w:val="en-US" w:eastAsia="zh-CN" w:bidi="ar-SA"/>
        </w:rPr>
        <w:id w:val="147464046"/>
        <w:showingPlcHdr/>
        <w15:color w:val="DBDBDB"/>
        <w:docPartObj>
          <w:docPartGallery w:val="Table of Contents"/>
          <w:docPartUnique/>
        </w:docPartObj>
      </w:sdtPr>
      <w:sdtEndPr>
        <w:rPr>
          <w:rFonts w:hint="eastAsia" w:ascii="仿宋_GB2312" w:hAnsi="仿宋_GB2312" w:eastAsia="仿宋_GB2312" w:cs="仿宋_GB2312"/>
          <w:b/>
          <w:bCs/>
          <w:color w:val="333333"/>
          <w:kern w:val="2"/>
          <w:sz w:val="21"/>
          <w:szCs w:val="21"/>
          <w:lang w:val="en-US" w:eastAsia="zh-CN" w:bidi="ar-SA"/>
        </w:rPr>
      </w:sdtEndPr>
      <w:sdtContent>
        <w:p w14:paraId="6FFD698C">
          <w:pPr>
            <w:pStyle w:val="2"/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pacing w:line="560" w:lineRule="exact"/>
            <w:textAlignment w:val="auto"/>
            <w:rPr>
              <w:rFonts w:hint="eastAsia" w:ascii="仿宋_GB2312" w:hAnsi="仿宋_GB2312" w:eastAsia="仿宋_GB2312" w:cs="仿宋_GB2312"/>
              <w:color w:val="333333"/>
              <w:kern w:val="2"/>
              <w:sz w:val="21"/>
              <w:szCs w:val="21"/>
              <w:lang w:val="en-US" w:eastAsia="zh-CN" w:bidi="ar-SA"/>
            </w:rPr>
          </w:pPr>
          <w:r>
            <w:rPr>
              <w:rFonts w:hint="eastAsia" w:ascii="仿宋_GB2312" w:hAnsi="仿宋_GB2312" w:eastAsia="仿宋_GB2312" w:cs="仿宋_GB2312"/>
              <w:b/>
              <w:bCs/>
              <w:color w:val="333333"/>
              <w:kern w:val="2"/>
              <w:sz w:val="28"/>
              <w:szCs w:val="28"/>
              <w:lang w:val="en-US" w:eastAsia="zh-CN" w:bidi="ar-SA"/>
            </w:rPr>
            <w:t xml:space="preserve">     </w:t>
          </w:r>
        </w:p>
      </w:sdtContent>
    </w:sdt>
    <w:p w14:paraId="0B2664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Chars="200"/>
        <w:jc w:val="both"/>
        <w:textAlignment w:val="auto"/>
        <w:rPr>
          <w:rFonts w:hint="eastAsia" w:ascii="黑体" w:hAnsi="黑体" w:eastAsia="黑体" w:cs="黑体"/>
          <w:i w:val="0"/>
          <w:strike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i w:val="0"/>
          <w:strike w:val="0"/>
          <w:color w:val="000000"/>
          <w:sz w:val="32"/>
          <w:szCs w:val="32"/>
          <w:u w:val="none"/>
          <w:lang w:val="en-US" w:eastAsia="zh-CN"/>
        </w:rPr>
        <w:t>一、项目概述</w:t>
      </w:r>
    </w:p>
    <w:p w14:paraId="36C826C2">
      <w:pPr>
        <w:keepNext w:val="0"/>
        <w:keepLines w:val="0"/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trike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strike w:val="0"/>
          <w:color w:val="000000"/>
          <w:sz w:val="32"/>
          <w:szCs w:val="32"/>
          <w:u w:val="none"/>
          <w:lang w:val="en-US" w:eastAsia="zh-CN"/>
        </w:rPr>
        <w:t>按照《教育部关于加强新时代教育管理信息化工作的通知》（教科信函〔2021〕 13号）《中华人民共和国网络安全法》、《信息安全技术网络安全等级保护基本要求》有关通知和法律法规要求，为进一步加强新时代教育管理信息化工作，解决学院官网信息数据资源整合，强化学院网站信息安全，同时全面、准确地向社会公众展示学院师资力量、教学科研成果、社会服务情况等信息，提升学院知名度和声誉，使报考学生更好地了解学院发展情况和报考信息，拟通过购服务的方式对学院官网及二级网站集约化进行建设。</w:t>
      </w:r>
    </w:p>
    <w:p w14:paraId="01166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Chars="200"/>
        <w:jc w:val="both"/>
        <w:textAlignment w:val="auto"/>
        <w:rPr>
          <w:rFonts w:hint="default" w:ascii="黑体" w:hAnsi="黑体" w:eastAsia="黑体" w:cs="黑体"/>
          <w:i w:val="0"/>
          <w:strike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i w:val="0"/>
          <w:strike w:val="0"/>
          <w:color w:val="000000"/>
          <w:sz w:val="32"/>
          <w:szCs w:val="32"/>
          <w:u w:val="none"/>
          <w:lang w:val="en-US" w:eastAsia="zh-CN"/>
        </w:rPr>
        <w:t>二、平台功能</w:t>
      </w:r>
    </w:p>
    <w:p w14:paraId="0FE53657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  <w:lang w:val="en-US" w:eastAsia="zh-CN"/>
        </w:rPr>
        <w:t>平台</w:t>
      </w:r>
      <w:r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</w:rPr>
        <w:t>提供站点管理、栏目管理、资源管理、权限管理；内容发布、统一身份认证；运维监控、统计分析、安全防护等功能支撑服务。平台提供在线网站建站工具，无需编程，通过拖拽网站模块、勾选设置网站模块参数的方式即可完成网站建设，并可实现PC网站、手机网站、微信公众号数据源一体化建设管理，多终端展示。解决网站建设、设计、管理、运维和安全等一体化的问题。</w:t>
      </w:r>
    </w:p>
    <w:p w14:paraId="3CC93AB1">
      <w:pPr>
        <w:snapToGrid/>
        <w:spacing w:line="360" w:lineRule="auto"/>
        <w:rPr>
          <w:rFonts w:hint="default" w:ascii="仿宋_GB2312" w:hAnsi="仿宋_GB2312" w:eastAsia="仿宋_GB2312" w:cs="仿宋_GB2312"/>
          <w:b/>
          <w:bCs/>
          <w:i w:val="0"/>
          <w:strike w:val="0"/>
          <w:color w:val="262626"/>
          <w:spacing w:val="0"/>
          <w:sz w:val="28"/>
          <w:szCs w:val="28"/>
          <w:u w:val="none"/>
          <w:lang w:val="en-US" w:eastAsia="zh-CN"/>
        </w:rPr>
      </w:pPr>
      <w:r>
        <w:drawing>
          <wp:inline distT="0" distB="0" distL="114300" distR="114300">
            <wp:extent cx="5752465" cy="1157605"/>
            <wp:effectExtent l="0" t="0" r="635" b="444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2465" cy="115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13120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i w:val="0"/>
          <w:strike w:val="0"/>
          <w:color w:val="262626"/>
          <w:sz w:val="32"/>
          <w:szCs w:val="32"/>
          <w:u w:val="none"/>
        </w:rPr>
        <w:t>统一认证：</w:t>
      </w:r>
      <w:r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</w:rPr>
        <w:t>系统采用OAuth2.0认证，用户通过学号、职工号、微信、企业微信配置，实现登录访问授权数据，且支持跨站点登录。用户无需单独注册，解决了账户安全和提高用户体验。</w:t>
      </w:r>
    </w:p>
    <w:p w14:paraId="76DF379E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/>
          <w:bCs/>
          <w:i w:val="0"/>
          <w:strike w:val="0"/>
          <w:color w:val="262626"/>
          <w:sz w:val="32"/>
          <w:szCs w:val="32"/>
          <w:u w:val="none"/>
        </w:rPr>
        <w:t>统一集成：</w:t>
      </w:r>
      <w:r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</w:rPr>
        <w:t>站点通过OAuth2.0标准一键集成第三方系统，为用户提供一站式信息服务。信息分享：站点、页面、单篇文章、栏目、应用均可生成二维码，支持跨站分享、微信分享、QQ分享。</w:t>
      </w:r>
    </w:p>
    <w:p w14:paraId="12F3DFD7">
      <w:pPr>
        <w:pageBreakBefore w:val="0"/>
        <w:widowControl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643" w:firstLineChars="200"/>
        <w:jc w:val="both"/>
        <w:textAlignment w:val="auto"/>
        <w:rPr>
          <w:rFonts w:hint="default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trike w:val="0"/>
          <w:color w:val="262626"/>
          <w:sz w:val="32"/>
          <w:szCs w:val="32"/>
          <w:u w:val="none"/>
        </w:rPr>
        <w:t>个性化设计：</w:t>
      </w:r>
      <w:r>
        <w:rPr>
          <w:rFonts w:hint="eastAsia" w:ascii="仿宋_GB2312" w:hAnsi="仿宋_GB2312" w:eastAsia="仿宋_GB2312" w:cs="仿宋_GB2312"/>
          <w:i w:val="0"/>
          <w:strike w:val="0"/>
          <w:color w:val="262626"/>
          <w:sz w:val="32"/>
          <w:szCs w:val="32"/>
          <w:u w:val="none"/>
        </w:rPr>
        <w:t>站点建设可以根据用户群特点单独设计，系统提供在线网页设计组件，提供个性化站点页面设计，无需程序员二次参与开发，提高了站点的自助建设能力。</w:t>
      </w:r>
      <w:bookmarkStart w:id="1" w:name="_Toc13047"/>
      <w:bookmarkStart w:id="2" w:name="_Toc30881"/>
      <w:bookmarkStart w:id="3" w:name="_Toc16057"/>
      <w:bookmarkStart w:id="4" w:name="_Toc31662"/>
      <w:bookmarkStart w:id="5" w:name="_Toc3703"/>
      <w:bookmarkStart w:id="6" w:name="_Toc28978"/>
    </w:p>
    <w:bookmarkEnd w:id="1"/>
    <w:bookmarkEnd w:id="2"/>
    <w:bookmarkEnd w:id="3"/>
    <w:p w14:paraId="77336E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bookmarkStart w:id="7" w:name="_Toc6514"/>
      <w:bookmarkStart w:id="8" w:name="_Toc17169"/>
      <w:bookmarkStart w:id="9" w:name="_Toc6947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（一）运维中心</w:t>
      </w:r>
      <w:bookmarkEnd w:id="7"/>
      <w:bookmarkEnd w:id="8"/>
      <w:bookmarkEnd w:id="9"/>
    </w:p>
    <w:p w14:paraId="69DE6B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集约化平台运维中心具有统一管理所有子网站的开通、一键关停、主域名绑定、副域名绑定，设置SSL证书，WEB访问域名和管理功能域名分离。</w:t>
      </w:r>
    </w:p>
    <w:p w14:paraId="2D6803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1.支持清理平台垃圾文件。</w:t>
      </w:r>
    </w:p>
    <w:p w14:paraId="69E06C8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2.支持日志管理。平台支持页面访问日志、操作日志、登录日志、会话日志、微信交互日志等。</w:t>
      </w:r>
      <w:bookmarkStart w:id="10" w:name="_Toc12286"/>
      <w:bookmarkStart w:id="11" w:name="_Toc7845"/>
      <w:bookmarkStart w:id="12" w:name="_Toc3886"/>
    </w:p>
    <w:p w14:paraId="0A35C9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（二）网站管理功能</w:t>
      </w:r>
      <w:bookmarkEnd w:id="10"/>
      <w:bookmarkEnd w:id="11"/>
      <w:bookmarkEnd w:id="12"/>
    </w:p>
    <w:p w14:paraId="2C3E4BDD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13" w:name="_Toc27333"/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1.支持智能建站工具（无需编程）</w:t>
      </w:r>
      <w:bookmarkEnd w:id="13"/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。非专业技术人员基于网站建设工具进行模块参数修改（字体、颜色、大小、栏目数据源等勾选）。实现子站点个性化网站建设和独立管理。</w:t>
      </w:r>
    </w:p>
    <w:p w14:paraId="3C7E95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2.网站页面支持非技术人员自助添加、删除网页面。设置页面关键字、权限、页面的模块拖拽排版等。</w:t>
      </w:r>
    </w:p>
    <w:p w14:paraId="7DF6026E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14" w:name="_Toc2995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（三）站点功能模块</w:t>
      </w:r>
      <w:bookmarkEnd w:id="14"/>
    </w:p>
    <w:p w14:paraId="236CF012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站点功能模块库：集成网站中通用的功能模块40个以上（同一模块能够个性化设置，适应不同需求的界面展示要求，包括：文字大小、颜色、版式外观、尺寸、数据源等）。如：站点Logo、横幅链接、默认菜单、单机特效菜单、双级特效菜单、单击自定菜单、三级下拉菜单、子菜单导航、网上调查列表、留言信箱、留言信箱来信选登、图片导航库、图片幻灯滚灯、图片滑动渐变效果、图片跑马灯效果、简单图文链接、热区图片链接、页面位置、树状导航、新闻及通用信息发布、新闻图文列表、新闻信息搜索、新闻单文展示、新闻栏目快照、下拉链接表、动态页签展示、QQ客服列表、网页收藏功能等多个通用功能模块。</w:t>
      </w:r>
    </w:p>
    <w:p w14:paraId="4C89A200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15" w:name="_Toc94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（四）子站点多框架</w:t>
      </w:r>
      <w:bookmarkEnd w:id="15"/>
    </w:p>
    <w:p w14:paraId="51B52420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站点框架设置：每个站点支持10套个性化设计主题框架，站点的单个页面都可以根据需求自定义更换主题。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28"/>
          <w:szCs w:val="28"/>
          <w:u w:val="none"/>
          <w:lang w:val="en-US" w:eastAsia="zh-CN" w:bidi="ar-SA"/>
        </w:rPr>
        <w:t xml:space="preserve"> </w:t>
      </w:r>
    </w:p>
    <w:p w14:paraId="22D896AB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16" w:name="_Toc11574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（五）子站点内容管理</w:t>
      </w:r>
      <w:bookmarkEnd w:id="16"/>
    </w:p>
    <w:p w14:paraId="65DF5F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具备栏目多层级管理、支持层级拖拽排序、栏目信息发布权设置、栏目内容查看权设置。站点文章可以设置主标题、副标题、文章标题外链、文章显示方式（仅显示内容、标题和内容以及文章参数显示能够设置组合）自动文章摘要、定时发布、文章排序、文章搜索、文章标红、以及文章的主题图设置。</w:t>
      </w:r>
    </w:p>
    <w:p w14:paraId="77DED9FE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17" w:name="_Toc18832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（六）可视化文章编辑器</w:t>
      </w:r>
      <w:bookmarkEnd w:id="17"/>
    </w:p>
    <w:p w14:paraId="551DFD9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1.内容自适应展示设备尺寸，文章支持PC、手机、二维码访问方式。支持多种图片格式，且满足多图上传。</w:t>
      </w:r>
    </w:p>
    <w:p w14:paraId="07DDBA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2.支持word、excel、ppt、jpg、gif、png、zip格式附件上传、下载。</w:t>
      </w:r>
    </w:p>
    <w:p w14:paraId="1488E7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3.提供在线文档编辑器功能。用户可指定文档内容的字体、字号、字体颜色、背景颜色、段落对齐方式、项目符号、段落缩进等属性、超级链接、通过分页标记实现单篇文档的分页、充分实现图文混排功能。</w:t>
      </w:r>
    </w:p>
    <w:p w14:paraId="6038AD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4.支持插入表格、图片、符号、HTML标记、模板、音频、视频等网页元素。</w:t>
      </w:r>
    </w:p>
    <w:p w14:paraId="603129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5.可插入音视频库海量资源，实现音视频在线播放。支持后台上传音视频信息。可定义视频是否点播、置顶、封面图上传功能</w:t>
      </w:r>
    </w:p>
    <w:p w14:paraId="1D962F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6.基于站点栏目管理功能，可自主建立专题栏目信息库，实现图文、音视频富文本信息的分类展示。并支持多终端自适应展示。</w:t>
      </w:r>
    </w:p>
    <w:p w14:paraId="12FB4FF3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18" w:name="_Toc399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（七）自定义网上调查模块</w:t>
      </w:r>
      <w:bookmarkEnd w:id="18"/>
    </w:p>
    <w:p w14:paraId="67D345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1.支持非技术人员在线设计调查表，表单设计灵活，且能实时数据分析和图表展示，支持建立多个自定义留言表单。</w:t>
      </w:r>
    </w:p>
    <w:p w14:paraId="75E365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2.调查表集成单选、多选、文本控件列表，且每个控件的文字、参数、表单外观均通过工具在线制作。</w:t>
      </w:r>
    </w:p>
    <w:p w14:paraId="318DFA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3.根据需求收集用户信息，提交数据后，用户通过查询码查询回复情况。</w:t>
      </w:r>
    </w:p>
    <w:p w14:paraId="2FE24C2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4.数据通过模块库中的模块提取数据并支持列表、单篇等形式展示。</w:t>
      </w:r>
    </w:p>
    <w:p w14:paraId="37CC3439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19" w:name="_Toc4450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（八）自定义信息采集</w:t>
      </w:r>
      <w:bookmarkEnd w:id="19"/>
    </w:p>
    <w:p w14:paraId="78D1D3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1.支持非技术人员在线留言板设计，支持建立多个自定义留言表单。</w:t>
      </w:r>
    </w:p>
    <w:p w14:paraId="1B1496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2.表单集成字符串、单选、多选、勾选、文本、时间等控件列表，且每个控件的文字、参数、是否选填、控件排版、表单外观均通过工具在线实时制作。</w:t>
      </w:r>
    </w:p>
    <w:p w14:paraId="25E065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3根据需求收集用户信息，提交数据后，用户通过查询码查询回复情况。</w:t>
      </w:r>
    </w:p>
    <w:p w14:paraId="13CDD8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4.留言数据能通过模块库中的模块提取数据并展示。</w:t>
      </w:r>
    </w:p>
    <w:p w14:paraId="00FE0D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5.单个表单生成二维码，自适应移动设备展示、填报。</w:t>
      </w:r>
    </w:p>
    <w:p w14:paraId="412BC6F3">
      <w:pPr>
        <w:pStyle w:val="6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20" w:name="_Toc23979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（九）站点管理</w:t>
      </w:r>
      <w:bookmarkEnd w:id="20"/>
    </w:p>
    <w:p w14:paraId="1F9743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1.站点设置：实现站点名称、关键字、邮箱、短信集成、站点复制和密码、信息展示模板等功能。</w:t>
      </w:r>
    </w:p>
    <w:p w14:paraId="2AE61A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2站点复制：站群平台每个站点都可以作为模板，一键复制后在线修改，具体功能参考网页面设计。实现站点初始化，可以一键清除当前站点所有数据。</w:t>
      </w:r>
    </w:p>
    <w:p w14:paraId="4C9376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3.用户及角色管理：新建用户、设置权限、设置角色、集成单位认证中心用户账户以及网站单个管理功能授权。</w:t>
      </w:r>
    </w:p>
    <w:p w14:paraId="3337639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4.站点登录数据统计：统计站点登录记录，支持数据导出。</w:t>
      </w:r>
    </w:p>
    <w:p w14:paraId="5D017D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学校可根据自身信息展示需要建设和管理信息栏目。支持栏目拖拽分级，栏目信息提交权和发布权分角色管理。</w:t>
      </w:r>
    </w:p>
    <w:p w14:paraId="382B9B82">
      <w:pPr>
        <w:pStyle w:val="7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21" w:name="_Toc23541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（十）提供资源管理</w:t>
      </w:r>
      <w:bookmarkEnd w:id="21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提供PDF、MP4资源管理和文章库资源管理、检索</w:t>
      </w:r>
    </w:p>
    <w:p w14:paraId="14B00630">
      <w:pPr>
        <w:pStyle w:val="7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22" w:name="_Toc31614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（十一）权限管理</w:t>
      </w:r>
      <w:bookmarkEnd w:id="22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支持对网站管理员进行分角色管理和授权。</w:t>
      </w:r>
    </w:p>
    <w:p w14:paraId="0F549AC1">
      <w:pPr>
        <w:pStyle w:val="7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23" w:name="_Toc5984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（十二）网站展示兼容性</w:t>
      </w:r>
      <w:bookmarkEnd w:id="23"/>
    </w:p>
    <w:p w14:paraId="4D998A51">
      <w:pPr>
        <w:pStyle w:val="7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网站建设支持兼容性展示。使用电脑PC、智能手机、平板访问网站，网站自动识别用户访问设备，并提供用户当前设备最佳的适配界面，带来出色的浏览体验。兼容性如下：</w:t>
      </w:r>
    </w:p>
    <w:p w14:paraId="79B7B4D0">
      <w:pPr>
        <w:pStyle w:val="7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1.操作系统：兼容全部主流智能手机（包括苹果IOS、安卓Android等）。</w:t>
      </w:r>
    </w:p>
    <w:p w14:paraId="3308F27A">
      <w:pPr>
        <w:pStyle w:val="7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2.浏览器：兼容微软IE、edge、谷歌Chrome、火狐Firefo等多种浏览器。</w:t>
      </w:r>
    </w:p>
    <w:p w14:paraId="2C46C1F4">
      <w:pPr>
        <w:pStyle w:val="7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3.支持</w:t>
      </w:r>
      <w:bookmarkStart w:id="24" w:name="_Toc2292"/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PC网站、微网站、微信公众号实现数据和界面数据一体化</w:t>
      </w:r>
      <w:bookmarkEnd w:id="24"/>
    </w:p>
    <w:p w14:paraId="58F78EC9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25" w:name="_Toc6220"/>
      <w:bookmarkStart w:id="26" w:name="_Toc3663"/>
      <w:bookmarkStart w:id="27" w:name="_Toc6205"/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（十三）站点微网站配置</w:t>
      </w:r>
      <w:bookmarkEnd w:id="25"/>
      <w:bookmarkEnd w:id="26"/>
      <w:bookmarkEnd w:id="27"/>
    </w:p>
    <w:p w14:paraId="4450C8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微网站配置包括首页、专题、视频、专题、搜一搜等基础tabs，通过个性化配置按需定制展示风格，满足公共信息化的宣传需求。</w:t>
      </w:r>
    </w:p>
    <w:p w14:paraId="4FF9BA67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320" w:firstLineChars="100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bookmarkStart w:id="28" w:name="_Toc9903"/>
      <w:bookmarkStart w:id="29" w:name="_Toc29569"/>
      <w:bookmarkStart w:id="30" w:name="_Toc25413"/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（十四）微信公众号配置</w:t>
      </w:r>
      <w:bookmarkEnd w:id="28"/>
      <w:bookmarkEnd w:id="29"/>
      <w:bookmarkEnd w:id="30"/>
    </w:p>
    <w:p w14:paraId="613615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1.提供微信平台接口配置、微信支付接口配置、历史群发记录、粉丝交互记录、自定义微信菜单、自定义回复关键字、自动回复设置等。</w:t>
      </w:r>
    </w:p>
    <w:p w14:paraId="39FD29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2.同时支持配置企业微信token、AppID等参数，可获取和本地调整企业微信通讯录，实现个性化服务。</w:t>
      </w:r>
    </w:p>
    <w:p w14:paraId="600E68CC">
      <w:pPr>
        <w:pStyle w:val="2"/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（十五）站点服务功能集成</w:t>
      </w:r>
    </w:p>
    <w:p w14:paraId="7589033B">
      <w:pPr>
        <w:pStyle w:val="2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平台集成多个应用服务，学校任意子站点可一键开通。如：协同办公系统、通用数据表格、通用微查询系统、任务督导系统、摇号系统 、人脸识别系统、微网站及微信集成、活动预约及问卷调查、在线报名、在线学习考核等多功能应用系统。</w:t>
      </w:r>
    </w:p>
    <w:p w14:paraId="432FA9C9">
      <w:pPr>
        <w:pStyle w:val="2"/>
        <w:ind w:left="0" w:leftChars="0" w:firstLine="640" w:firstLineChars="200"/>
        <w:rPr>
          <w:rFonts w:hint="eastAsia" w:ascii="黑体" w:hAnsi="黑体" w:eastAsia="黑体" w:cs="黑体"/>
          <w:b w:val="0"/>
          <w:bCs w:val="0"/>
          <w:color w:val="1A1A1A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1A1A1A"/>
          <w:kern w:val="2"/>
          <w:sz w:val="32"/>
          <w:szCs w:val="32"/>
          <w:lang w:val="en-US" w:eastAsia="zh-CN" w:bidi="ar-SA"/>
        </w:rPr>
        <w:t>三、网站数据迁移</w:t>
      </w:r>
    </w:p>
    <w:p w14:paraId="5147329E"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支持通过数据迁移工具，填入系统数据库地址、数据库名称、数据库账号、数据库密码等信息，以及待迁移系统数据库的数据库地址、数据库名称、数据库账号、数据库密码等信息。实现快速数据迁移。</w:t>
      </w:r>
    </w:p>
    <w:p w14:paraId="3CAA3C3E">
      <w:pPr>
        <w:pStyle w:val="2"/>
        <w:ind w:left="0" w:leftChars="0" w:firstLine="640" w:firstLineChars="200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迁移期间针对历史数据，做数据质量清理，对无效数据双方确认后做删除处理再进行系统导入。</w:t>
      </w:r>
    </w:p>
    <w:p w14:paraId="7C59E30B">
      <w:pPr>
        <w:pStyle w:val="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对学院现有网站及所有二级网站（https://www.njnhvc.edu.cn/）数据平滑迁移，保障数据或信息的延续性和完整性。</w:t>
      </w:r>
    </w:p>
    <w:p w14:paraId="1AA763CF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bookmarkStart w:id="31" w:name="_Toc28987"/>
      <w:bookmarkStart w:id="32" w:name="_Toc406"/>
      <w:bookmarkStart w:id="33" w:name="_Toc22342"/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四、支持IPv6机制</w:t>
      </w:r>
      <w:bookmarkEnd w:id="31"/>
      <w:bookmarkEnd w:id="32"/>
      <w:bookmarkEnd w:id="33"/>
    </w:p>
    <w:p w14:paraId="573D3B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集约化平台（网站）系统全面支持IPv6协议，符合国家《推进互联网协议第六版（IPv6）规模部署行动计划》要求。同时，IP规则、应用防火墙等功能均需要支持IPV6功能。</w:t>
      </w:r>
    </w:p>
    <w:p w14:paraId="6395F301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1A1A1A"/>
          <w:kern w:val="2"/>
          <w:sz w:val="32"/>
          <w:szCs w:val="32"/>
          <w:lang w:val="en-US" w:eastAsia="zh-CN" w:bidi="ar-SA"/>
        </w:rPr>
      </w:pPr>
      <w:bookmarkStart w:id="34" w:name="_Toc26582"/>
      <w:bookmarkStart w:id="35" w:name="_Toc6056"/>
      <w:bookmarkStart w:id="36" w:name="_Toc30462"/>
      <w:r>
        <w:rPr>
          <w:rFonts w:hint="eastAsia" w:ascii="黑体" w:hAnsi="黑体" w:eastAsia="黑体" w:cs="黑体"/>
          <w:b w:val="0"/>
          <w:bCs w:val="0"/>
          <w:color w:val="1A1A1A"/>
          <w:kern w:val="2"/>
          <w:sz w:val="32"/>
          <w:szCs w:val="32"/>
          <w:lang w:val="en-US" w:eastAsia="zh-CN" w:bidi="ar-SA"/>
        </w:rPr>
        <w:t>五、支持SSL证书</w:t>
      </w:r>
      <w:bookmarkEnd w:id="34"/>
      <w:bookmarkEnd w:id="35"/>
      <w:bookmarkEnd w:id="36"/>
    </w:p>
    <w:p w14:paraId="487C3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560" w:firstLineChars="200"/>
        <w:jc w:val="both"/>
        <w:textAlignment w:val="auto"/>
        <w:rPr>
          <w:rFonts w:hint="eastAsia" w:ascii="仿宋_GB2312" w:hAnsi="仿宋_GB2312" w:eastAsia="仿宋_GB2312" w:cs="仿宋_GB2312"/>
          <w:color w:val="262626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262626"/>
          <w:sz w:val="28"/>
          <w:szCs w:val="28"/>
          <w:lang w:val="en-US" w:eastAsia="zh-CN"/>
        </w:rPr>
        <w:t>需支持HTTPS建设，是对HTTP协议的有效安全提升，采用HTTPS作为安全传输协议，能够极大降低数据传输被外界截获、破译的可能性，保护平台信息内容安全。</w:t>
      </w:r>
    </w:p>
    <w:p w14:paraId="69B644C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color w:val="1A1A1A"/>
          <w:kern w:val="2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1A1A1A"/>
          <w:kern w:val="2"/>
          <w:sz w:val="28"/>
          <w:szCs w:val="28"/>
          <w:lang w:val="en-US" w:eastAsia="zh-CN" w:bidi="ar-SA"/>
        </w:rPr>
        <w:t>五、服务内容</w:t>
      </w:r>
    </w:p>
    <w:bookmarkEnd w:id="4"/>
    <w:bookmarkEnd w:id="5"/>
    <w:bookmarkEnd w:id="6"/>
    <w:p w14:paraId="29B74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学院购买集约化平台云服务模式，仅关注内容安全管理；服务商提供基础环境、网络安全等其他服务。如下</w:t>
      </w:r>
    </w:p>
    <w:tbl>
      <w:tblPr>
        <w:tblStyle w:val="18"/>
        <w:tblW w:w="0" w:type="auto"/>
        <w:tblInd w:w="1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6646"/>
      </w:tblGrid>
      <w:tr w14:paraId="185B8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4E228053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服务项目</w:t>
            </w:r>
          </w:p>
        </w:tc>
        <w:tc>
          <w:tcPr>
            <w:tcW w:w="6646" w:type="dxa"/>
            <w:vAlign w:val="center"/>
          </w:tcPr>
          <w:p w14:paraId="7AE1C1BC"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vertAlign w:val="baseline"/>
                <w:lang w:val="en-US" w:eastAsia="zh-CN"/>
              </w:rPr>
              <w:t>集约化网站服务</w:t>
            </w:r>
          </w:p>
        </w:tc>
      </w:tr>
      <w:tr w14:paraId="4E112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664FDDB4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基础环境</w:t>
            </w:r>
          </w:p>
        </w:tc>
        <w:tc>
          <w:tcPr>
            <w:tcW w:w="6646" w:type="dxa"/>
            <w:vAlign w:val="center"/>
          </w:tcPr>
          <w:p w14:paraId="48ADB136">
            <w:pPr>
              <w:ind w:left="0" w:leftChars="0" w:firstLine="0" w:firstLineChars="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WEB服务器、数据库服务器、资源存储服务器、负载均衡CLB服务、DDoS高防（IPv6）、Web应用防火墙（IPv6）、数据库审计、云安全中心、云防火墙（IPv6）等安全服务。</w:t>
            </w:r>
          </w:p>
        </w:tc>
      </w:tr>
      <w:tr w14:paraId="3796F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677AF9CB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平台部署</w:t>
            </w:r>
          </w:p>
        </w:tc>
        <w:tc>
          <w:tcPr>
            <w:tcW w:w="6646" w:type="dxa"/>
            <w:vAlign w:val="center"/>
          </w:tcPr>
          <w:p w14:paraId="085EA60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集约化部署</w:t>
            </w:r>
          </w:p>
        </w:tc>
      </w:tr>
      <w:tr w14:paraId="7391A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1FB3E113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网站建设</w:t>
            </w:r>
          </w:p>
        </w:tc>
        <w:tc>
          <w:tcPr>
            <w:tcW w:w="6646" w:type="dxa"/>
            <w:vAlign w:val="center"/>
          </w:tcPr>
          <w:p w14:paraId="5447D74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负责主站和子站统一迁移和建设（主站1个，子站网站数量23个）</w:t>
            </w:r>
          </w:p>
        </w:tc>
      </w:tr>
      <w:tr w14:paraId="1A83BA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1E88ADE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HTTPS证书</w:t>
            </w:r>
          </w:p>
        </w:tc>
        <w:tc>
          <w:tcPr>
            <w:tcW w:w="6646" w:type="dxa"/>
            <w:vAlign w:val="center"/>
          </w:tcPr>
          <w:p w14:paraId="7CD28E36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服务期间部署SSL证书（全覆盖）</w:t>
            </w:r>
          </w:p>
        </w:tc>
      </w:tr>
      <w:tr w14:paraId="2B3E6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176DA1DA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学校官网设计</w:t>
            </w:r>
          </w:p>
        </w:tc>
        <w:tc>
          <w:tcPr>
            <w:tcW w:w="6646" w:type="dxa"/>
            <w:vAlign w:val="center"/>
          </w:tcPr>
          <w:p w14:paraId="6B70DF99"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参考现有官网https://www.njnhvc.edu.cn/</w:t>
            </w:r>
          </w:p>
        </w:tc>
      </w:tr>
      <w:tr w14:paraId="4B7D0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1DDB12BD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公众号对接</w:t>
            </w:r>
          </w:p>
        </w:tc>
        <w:tc>
          <w:tcPr>
            <w:tcW w:w="6646" w:type="dxa"/>
            <w:vAlign w:val="center"/>
          </w:tcPr>
          <w:p w14:paraId="412499C1"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负责统一对接或提供技术支撑</w:t>
            </w:r>
          </w:p>
        </w:tc>
      </w:tr>
      <w:tr w14:paraId="38F444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05A75DAD">
            <w:p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运维技术支持</w:t>
            </w:r>
          </w:p>
        </w:tc>
        <w:tc>
          <w:tcPr>
            <w:tcW w:w="6646" w:type="dxa"/>
            <w:vAlign w:val="center"/>
          </w:tcPr>
          <w:p w14:paraId="7224F72F"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负责技术运维和服务</w:t>
            </w:r>
          </w:p>
        </w:tc>
      </w:tr>
      <w:tr w14:paraId="69ADB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546" w:type="dxa"/>
            <w:vAlign w:val="center"/>
          </w:tcPr>
          <w:p w14:paraId="1ABC172C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平台操作培训</w:t>
            </w:r>
          </w:p>
        </w:tc>
        <w:tc>
          <w:tcPr>
            <w:tcW w:w="6646" w:type="dxa"/>
            <w:vAlign w:val="center"/>
          </w:tcPr>
          <w:p w14:paraId="5200F6F6"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定期组织培训</w:t>
            </w:r>
          </w:p>
        </w:tc>
      </w:tr>
      <w:tr w14:paraId="04260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46" w:type="dxa"/>
            <w:vAlign w:val="center"/>
          </w:tcPr>
          <w:p w14:paraId="22D8EF89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平台运维</w:t>
            </w:r>
          </w:p>
        </w:tc>
        <w:tc>
          <w:tcPr>
            <w:tcW w:w="6646" w:type="dxa"/>
            <w:vAlign w:val="center"/>
          </w:tcPr>
          <w:p w14:paraId="30EEAAFB">
            <w:pPr>
              <w:ind w:left="0" w:leftChars="0" w:firstLine="0" w:firstLineChars="0"/>
              <w:jc w:val="left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提供站点日志、访问统计、全文检索、数据库备份、改版升级、系统升级、漏洞修复等服务。</w:t>
            </w:r>
          </w:p>
        </w:tc>
      </w:tr>
      <w:tr w14:paraId="1E827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3B9211D0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网站安全</w:t>
            </w:r>
          </w:p>
        </w:tc>
        <w:tc>
          <w:tcPr>
            <w:tcW w:w="6646" w:type="dxa"/>
            <w:vAlign w:val="center"/>
          </w:tcPr>
          <w:p w14:paraId="281B468D"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每年开展三级等级保护测评，提供相应证书</w:t>
            </w:r>
          </w:p>
        </w:tc>
      </w:tr>
      <w:tr w14:paraId="241FD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5E8A68BD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信息巡检</w:t>
            </w:r>
          </w:p>
        </w:tc>
        <w:tc>
          <w:tcPr>
            <w:tcW w:w="6646" w:type="dxa"/>
            <w:vAlign w:val="center"/>
          </w:tcPr>
          <w:p w14:paraId="7D727437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提供信息发布内容巡检服务</w:t>
            </w:r>
          </w:p>
        </w:tc>
      </w:tr>
      <w:tr w14:paraId="08553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6" w:type="dxa"/>
            <w:vAlign w:val="center"/>
          </w:tcPr>
          <w:p w14:paraId="60D187CA">
            <w:pPr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bookmarkStart w:id="37" w:name="_Toc22904"/>
            <w:bookmarkStart w:id="38" w:name="_Toc29384"/>
            <w:bookmarkStart w:id="39" w:name="_Toc24865"/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域名备案</w:t>
            </w:r>
          </w:p>
        </w:tc>
        <w:tc>
          <w:tcPr>
            <w:tcW w:w="6646" w:type="dxa"/>
            <w:vAlign w:val="center"/>
          </w:tcPr>
          <w:p w14:paraId="2AF9C035">
            <w:pPr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接入备案流程</w:t>
            </w:r>
          </w:p>
        </w:tc>
      </w:tr>
    </w:tbl>
    <w:p w14:paraId="2B7892B5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（一）网站数量及服务周期</w:t>
      </w:r>
    </w:p>
    <w:p w14:paraId="579E6BA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1个主站和23个子站，服务周期3年</w:t>
      </w:r>
    </w:p>
    <w:p w14:paraId="348A45A1"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（二）安全运维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服务</w:t>
      </w:r>
      <w:bookmarkEnd w:id="37"/>
      <w:bookmarkEnd w:id="38"/>
      <w:bookmarkEnd w:id="39"/>
    </w:p>
    <w:p w14:paraId="4A5D3C38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1.安装部署。支持多种部署模式：集群式部署、多站点部署等方式。</w:t>
      </w:r>
    </w:p>
    <w:p w14:paraId="525CFD2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2.数据防护。支持页面级的细粒度访问控制，提供完善的角色管理和权限分配功能；完整系统日志记录，同时在用户登录和信息传递过程中，对密码进行加密处理，有效保证系统及用户资料的安全。</w:t>
      </w:r>
    </w:p>
    <w:p w14:paraId="5F846C0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3.系统安全。平台提供持续迭代升级策略防止 SQL注入、跨站挂马，同时提供入侵防护日志。通过密码强度等级设定、会话期安全策略和传输加密技术，保障用户的账号安全。</w:t>
      </w:r>
    </w:p>
    <w:p w14:paraId="0EE17E4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4.等级保护。每年开展三级等级保护测评，提供测评证书和相关说明，需满足网安部门相关要求。</w:t>
      </w:r>
    </w:p>
    <w:p w14:paraId="48FBE7A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5.备份与恢复。通过备份/恢复功能，对集约化平台数据及应用进行备份，以便系统遭遇突发安全事故时，可迅速恢复系统的正常运行。</w:t>
      </w:r>
    </w:p>
    <w:p w14:paraId="0E1BD461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1A1A1A"/>
          <w:kern w:val="2"/>
          <w:sz w:val="32"/>
          <w:szCs w:val="32"/>
          <w:lang w:val="en-US" w:eastAsia="zh-CN" w:bidi="ar-SA"/>
        </w:rPr>
      </w:pPr>
      <w:bookmarkStart w:id="40" w:name="_Toc26672"/>
      <w:bookmarkStart w:id="41" w:name="_Toc6589"/>
      <w:bookmarkStart w:id="42" w:name="_Toc13660"/>
      <w:r>
        <w:rPr>
          <w:rFonts w:hint="eastAsia" w:ascii="楷体_GB2312" w:hAnsi="楷体_GB2312" w:eastAsia="楷体_GB2312" w:cs="楷体_GB2312"/>
          <w:b w:val="0"/>
          <w:bCs w:val="0"/>
          <w:color w:val="1A1A1A"/>
          <w:kern w:val="2"/>
          <w:sz w:val="32"/>
          <w:szCs w:val="32"/>
          <w:lang w:val="en-US" w:eastAsia="zh-CN" w:bidi="ar-SA"/>
        </w:rPr>
        <w:t>（三）技术支撑服务</w:t>
      </w:r>
      <w:bookmarkEnd w:id="40"/>
      <w:bookmarkEnd w:id="41"/>
      <w:bookmarkEnd w:id="42"/>
    </w:p>
    <w:p w14:paraId="3B86F6D6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1.建立网络安全应急响应机制，健全网络安全应急工作体系，制定完善网络安全事件应急预案，确保应急处置高效有序。</w:t>
      </w:r>
    </w:p>
    <w:p w14:paraId="66545AF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 xml:space="preserve">2.完善网络安全监测和信息通报机制，指定专人负责通报，严格执行“零事件”报告制度，坚持做到有情况报情况、无情况报平安，实现及时准确上传下达、全面有效整改处置。 </w:t>
      </w:r>
    </w:p>
    <w:p w14:paraId="2E346DA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3.组织做好网络安全事件应急准备，落实了24小时实时监测，明确了应急值班岗位人员，落实了7x24小时值班值守制度，做好与专业安全技术机构工作协调，确保必要时能够提供专业支持。</w:t>
      </w:r>
    </w:p>
    <w:p w14:paraId="3D03ECEB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4.定期组织专业公司对网络安全进行检查，发现并消除新安全漏洞。</w:t>
      </w:r>
    </w:p>
    <w:p w14:paraId="55E67FCC"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1A1A1A"/>
          <w:kern w:val="2"/>
          <w:sz w:val="32"/>
          <w:szCs w:val="32"/>
          <w:lang w:val="en-US" w:eastAsia="zh-CN" w:bidi="ar-SA"/>
        </w:rPr>
      </w:pPr>
      <w:bookmarkStart w:id="43" w:name="_Toc2939"/>
      <w:bookmarkStart w:id="44" w:name="_Toc29994"/>
      <w:bookmarkStart w:id="45" w:name="_Toc9939"/>
      <w:r>
        <w:rPr>
          <w:rFonts w:hint="eastAsia" w:ascii="楷体_GB2312" w:hAnsi="楷体_GB2312" w:eastAsia="楷体_GB2312" w:cs="楷体_GB2312"/>
          <w:b w:val="0"/>
          <w:bCs w:val="0"/>
          <w:color w:val="1A1A1A"/>
          <w:kern w:val="2"/>
          <w:sz w:val="32"/>
          <w:szCs w:val="32"/>
          <w:lang w:val="en-US" w:eastAsia="zh-CN" w:bidi="ar-SA"/>
        </w:rPr>
        <w:t>（四）培训服务</w:t>
      </w:r>
      <w:bookmarkEnd w:id="43"/>
      <w:bookmarkEnd w:id="44"/>
      <w:bookmarkEnd w:id="45"/>
    </w:p>
    <w:p w14:paraId="56FC896C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262626"/>
          <w:spacing w:val="0"/>
          <w:kern w:val="2"/>
          <w:sz w:val="32"/>
          <w:szCs w:val="32"/>
          <w:u w:val="none"/>
          <w:lang w:val="en-US" w:eastAsia="zh-CN" w:bidi="ar-SA"/>
        </w:rPr>
        <w:t>定期组织人员进行系统的使用、维护培训，所有培训以中文进行并提供视频、文字培训材料以供辅助学习。该培训将教会学员在日常和紧急情况下如何操作和使用平台。</w:t>
      </w:r>
      <w:bookmarkStart w:id="46" w:name="_GoBack"/>
      <w:bookmarkEnd w:id="46"/>
    </w:p>
    <w:sectPr>
      <w:footerReference r:id="rId5" w:type="default"/>
      <w:pgSz w:w="11905" w:h="16838"/>
      <w:pgMar w:top="1361" w:right="1417" w:bottom="1361" w:left="1417" w:header="720" w:footer="720" w:gutter="0"/>
      <w:pgNumType w:fmt="decimal"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4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ADC0FE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29B128">
                          <w:pPr>
                            <w:pStyle w:val="1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29B128">
                    <w:pPr>
                      <w:pStyle w:val="1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12" w:lineRule="auto"/>
      </w:pPr>
      <w:r>
        <w:separator/>
      </w:r>
    </w:p>
  </w:footnote>
  <w:footnote w:type="continuationSeparator" w:id="1">
    <w:p>
      <w:pPr>
        <w:spacing w:before="0" w:after="0" w:line="312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iNDE5ODlhYTgxOGQzNjA1YWM4NGQ4ZjAzZjVlOWEifQ=="/>
  </w:docVars>
  <w:rsids>
    <w:rsidRoot w:val="00000000"/>
    <w:rsid w:val="017B7E4E"/>
    <w:rsid w:val="01CC0628"/>
    <w:rsid w:val="0227136C"/>
    <w:rsid w:val="025A4B3C"/>
    <w:rsid w:val="02F97B00"/>
    <w:rsid w:val="0305345B"/>
    <w:rsid w:val="03F10EDE"/>
    <w:rsid w:val="042A4112"/>
    <w:rsid w:val="04497378"/>
    <w:rsid w:val="045F6B9B"/>
    <w:rsid w:val="04633CB9"/>
    <w:rsid w:val="053817AA"/>
    <w:rsid w:val="05F12C6E"/>
    <w:rsid w:val="060101C2"/>
    <w:rsid w:val="07007430"/>
    <w:rsid w:val="07C96E88"/>
    <w:rsid w:val="083E0FB3"/>
    <w:rsid w:val="0865674A"/>
    <w:rsid w:val="092E35F3"/>
    <w:rsid w:val="0A313331"/>
    <w:rsid w:val="0A8C4462"/>
    <w:rsid w:val="0AEB002D"/>
    <w:rsid w:val="0B133264"/>
    <w:rsid w:val="0B4E555B"/>
    <w:rsid w:val="0D1A0F31"/>
    <w:rsid w:val="0D483549"/>
    <w:rsid w:val="0D9553DC"/>
    <w:rsid w:val="0DC96871"/>
    <w:rsid w:val="0F135B11"/>
    <w:rsid w:val="0F3F7CF5"/>
    <w:rsid w:val="108C6F6A"/>
    <w:rsid w:val="10F0334D"/>
    <w:rsid w:val="11196324"/>
    <w:rsid w:val="11276176"/>
    <w:rsid w:val="117D2568"/>
    <w:rsid w:val="11AB600B"/>
    <w:rsid w:val="11DF131B"/>
    <w:rsid w:val="127B1DB3"/>
    <w:rsid w:val="128B1CD8"/>
    <w:rsid w:val="12E707A1"/>
    <w:rsid w:val="1411552A"/>
    <w:rsid w:val="147815B3"/>
    <w:rsid w:val="1510064C"/>
    <w:rsid w:val="15B8091F"/>
    <w:rsid w:val="15C81239"/>
    <w:rsid w:val="16136B72"/>
    <w:rsid w:val="168411C4"/>
    <w:rsid w:val="16BC7E7D"/>
    <w:rsid w:val="17DA4955"/>
    <w:rsid w:val="180B1639"/>
    <w:rsid w:val="18F97167"/>
    <w:rsid w:val="19237BED"/>
    <w:rsid w:val="195A7056"/>
    <w:rsid w:val="19B546CA"/>
    <w:rsid w:val="19B65356"/>
    <w:rsid w:val="19F425DF"/>
    <w:rsid w:val="1A0D0FA8"/>
    <w:rsid w:val="1A0E50CF"/>
    <w:rsid w:val="1A2E6B99"/>
    <w:rsid w:val="1B3721C8"/>
    <w:rsid w:val="1B8F4130"/>
    <w:rsid w:val="1BCA4036"/>
    <w:rsid w:val="1C7E7FBA"/>
    <w:rsid w:val="1D0439F8"/>
    <w:rsid w:val="1D8D4321"/>
    <w:rsid w:val="1E7948A6"/>
    <w:rsid w:val="1EEA4E66"/>
    <w:rsid w:val="202A5E57"/>
    <w:rsid w:val="20564E9E"/>
    <w:rsid w:val="20655B80"/>
    <w:rsid w:val="206F32C6"/>
    <w:rsid w:val="20800E7A"/>
    <w:rsid w:val="20D21CE6"/>
    <w:rsid w:val="20E40FBB"/>
    <w:rsid w:val="218912A4"/>
    <w:rsid w:val="22754915"/>
    <w:rsid w:val="229720B0"/>
    <w:rsid w:val="24294678"/>
    <w:rsid w:val="24863878"/>
    <w:rsid w:val="24B80BAC"/>
    <w:rsid w:val="264A3114"/>
    <w:rsid w:val="267F6685"/>
    <w:rsid w:val="26961ACB"/>
    <w:rsid w:val="26E06270"/>
    <w:rsid w:val="27781987"/>
    <w:rsid w:val="2850244B"/>
    <w:rsid w:val="29211DC2"/>
    <w:rsid w:val="2A2D4144"/>
    <w:rsid w:val="2B2A7D52"/>
    <w:rsid w:val="2BA13A3F"/>
    <w:rsid w:val="2C581F16"/>
    <w:rsid w:val="2CCE2673"/>
    <w:rsid w:val="2DA34DDD"/>
    <w:rsid w:val="2DC0289E"/>
    <w:rsid w:val="2DD62C0F"/>
    <w:rsid w:val="2DEC0DC0"/>
    <w:rsid w:val="2EA63495"/>
    <w:rsid w:val="2FEE7F95"/>
    <w:rsid w:val="30164848"/>
    <w:rsid w:val="301E0290"/>
    <w:rsid w:val="30C733C4"/>
    <w:rsid w:val="310F5189"/>
    <w:rsid w:val="312145C3"/>
    <w:rsid w:val="313C3C3D"/>
    <w:rsid w:val="32125B25"/>
    <w:rsid w:val="32F26A71"/>
    <w:rsid w:val="33473A99"/>
    <w:rsid w:val="33D858EA"/>
    <w:rsid w:val="34226D15"/>
    <w:rsid w:val="34CD7DD4"/>
    <w:rsid w:val="35643762"/>
    <w:rsid w:val="35C71030"/>
    <w:rsid w:val="361D69CE"/>
    <w:rsid w:val="3690118B"/>
    <w:rsid w:val="36BA4193"/>
    <w:rsid w:val="36CB704A"/>
    <w:rsid w:val="36F51229"/>
    <w:rsid w:val="37070849"/>
    <w:rsid w:val="37A85D3A"/>
    <w:rsid w:val="37B16445"/>
    <w:rsid w:val="381B138B"/>
    <w:rsid w:val="3851621F"/>
    <w:rsid w:val="38730571"/>
    <w:rsid w:val="38D4619D"/>
    <w:rsid w:val="38F62D18"/>
    <w:rsid w:val="3B90134E"/>
    <w:rsid w:val="3D8E3AC1"/>
    <w:rsid w:val="3E133F77"/>
    <w:rsid w:val="3E640A92"/>
    <w:rsid w:val="3E9D6553"/>
    <w:rsid w:val="3F6B107E"/>
    <w:rsid w:val="404E7113"/>
    <w:rsid w:val="407E1B3D"/>
    <w:rsid w:val="408655B3"/>
    <w:rsid w:val="41F91982"/>
    <w:rsid w:val="42122940"/>
    <w:rsid w:val="42351C2E"/>
    <w:rsid w:val="42B922ED"/>
    <w:rsid w:val="42FF38DA"/>
    <w:rsid w:val="443B57A5"/>
    <w:rsid w:val="44555025"/>
    <w:rsid w:val="450F05BE"/>
    <w:rsid w:val="45702B90"/>
    <w:rsid w:val="45FE1A5E"/>
    <w:rsid w:val="46886856"/>
    <w:rsid w:val="46C14AF8"/>
    <w:rsid w:val="4A2D5E25"/>
    <w:rsid w:val="4A331BD6"/>
    <w:rsid w:val="4B322C72"/>
    <w:rsid w:val="4B713050"/>
    <w:rsid w:val="4BDE6388"/>
    <w:rsid w:val="4CFA5A4C"/>
    <w:rsid w:val="4E6A1991"/>
    <w:rsid w:val="4E8D6E09"/>
    <w:rsid w:val="4E930FA3"/>
    <w:rsid w:val="4EC95187"/>
    <w:rsid w:val="50F03D4E"/>
    <w:rsid w:val="52391A74"/>
    <w:rsid w:val="52592A37"/>
    <w:rsid w:val="526A0AC2"/>
    <w:rsid w:val="52BE04FE"/>
    <w:rsid w:val="557A5852"/>
    <w:rsid w:val="55FB14E4"/>
    <w:rsid w:val="5691037D"/>
    <w:rsid w:val="56A00622"/>
    <w:rsid w:val="57685F63"/>
    <w:rsid w:val="57F64D9B"/>
    <w:rsid w:val="58666BD1"/>
    <w:rsid w:val="59257D3C"/>
    <w:rsid w:val="595508EC"/>
    <w:rsid w:val="5A4214BD"/>
    <w:rsid w:val="5A91720B"/>
    <w:rsid w:val="5AA47FD9"/>
    <w:rsid w:val="5B691F89"/>
    <w:rsid w:val="5B835D0F"/>
    <w:rsid w:val="5BF65DB2"/>
    <w:rsid w:val="5C4D4DA1"/>
    <w:rsid w:val="5C7D4C93"/>
    <w:rsid w:val="5DB468A9"/>
    <w:rsid w:val="5E165C67"/>
    <w:rsid w:val="5EC80ED0"/>
    <w:rsid w:val="5EDF77C6"/>
    <w:rsid w:val="5F654C5F"/>
    <w:rsid w:val="61306884"/>
    <w:rsid w:val="617A379B"/>
    <w:rsid w:val="619F774C"/>
    <w:rsid w:val="622639C9"/>
    <w:rsid w:val="62CF421A"/>
    <w:rsid w:val="636A79F9"/>
    <w:rsid w:val="639A01CB"/>
    <w:rsid w:val="63D812B9"/>
    <w:rsid w:val="65215CD6"/>
    <w:rsid w:val="65420FDB"/>
    <w:rsid w:val="656459B5"/>
    <w:rsid w:val="65EC4782"/>
    <w:rsid w:val="65F50D1D"/>
    <w:rsid w:val="665C3759"/>
    <w:rsid w:val="66E37F4F"/>
    <w:rsid w:val="67395F4D"/>
    <w:rsid w:val="674E74A1"/>
    <w:rsid w:val="67594485"/>
    <w:rsid w:val="67AF7076"/>
    <w:rsid w:val="6A487C25"/>
    <w:rsid w:val="6A4E1452"/>
    <w:rsid w:val="6A7E05B9"/>
    <w:rsid w:val="6B056872"/>
    <w:rsid w:val="6B2A03FD"/>
    <w:rsid w:val="6B951706"/>
    <w:rsid w:val="6C242EC9"/>
    <w:rsid w:val="6DA00E63"/>
    <w:rsid w:val="6E6F742F"/>
    <w:rsid w:val="6EA17811"/>
    <w:rsid w:val="6F2923F4"/>
    <w:rsid w:val="71287C2C"/>
    <w:rsid w:val="718323FF"/>
    <w:rsid w:val="720E6B9F"/>
    <w:rsid w:val="72252F5A"/>
    <w:rsid w:val="722F27AA"/>
    <w:rsid w:val="724C71FD"/>
    <w:rsid w:val="728221C1"/>
    <w:rsid w:val="729F75AC"/>
    <w:rsid w:val="72E939F7"/>
    <w:rsid w:val="731653B6"/>
    <w:rsid w:val="737771AE"/>
    <w:rsid w:val="73E14206"/>
    <w:rsid w:val="74DF156F"/>
    <w:rsid w:val="75BA294F"/>
    <w:rsid w:val="76C50796"/>
    <w:rsid w:val="76F32DFA"/>
    <w:rsid w:val="7725204A"/>
    <w:rsid w:val="775B25D4"/>
    <w:rsid w:val="78ED7D7D"/>
    <w:rsid w:val="79D22C76"/>
    <w:rsid w:val="7A01782E"/>
    <w:rsid w:val="7A651692"/>
    <w:rsid w:val="7B4C3ED5"/>
    <w:rsid w:val="7B6E27F8"/>
    <w:rsid w:val="7B8437E3"/>
    <w:rsid w:val="7BB035E0"/>
    <w:rsid w:val="7C1D2EAC"/>
    <w:rsid w:val="7C4C0A9E"/>
    <w:rsid w:val="7CB62EA9"/>
    <w:rsid w:val="7D020E63"/>
    <w:rsid w:val="7EA06C26"/>
    <w:rsid w:val="7F0653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qFormat="1"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napToGrid w:val="0"/>
      <w:spacing w:before="60" w:after="60" w:line="312" w:lineRule="auto"/>
      <w:jc w:val="left"/>
    </w:pPr>
    <w:rPr>
      <w:rFonts w:asciiTheme="minorHAnsi" w:hAnsiTheme="minorHAnsi" w:eastAsiaTheme="minorEastAsia" w:cstheme="minorBidi"/>
      <w:color w:val="333333"/>
      <w:kern w:val="2"/>
      <w:sz w:val="22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keepNext/>
      <w:keepLines/>
      <w:spacing w:before="0" w:after="0" w:line="408" w:lineRule="auto"/>
      <w:outlineLvl w:val="0"/>
    </w:pPr>
    <w:rPr>
      <w:b/>
      <w:bCs/>
      <w:color w:val="1A1A1A"/>
      <w:sz w:val="36"/>
      <w:szCs w:val="36"/>
    </w:rPr>
  </w:style>
  <w:style w:type="paragraph" w:styleId="5">
    <w:name w:val="heading 2"/>
    <w:basedOn w:val="1"/>
    <w:next w:val="1"/>
    <w:qFormat/>
    <w:uiPriority w:val="9"/>
    <w:pPr>
      <w:keepNext/>
      <w:keepLines/>
      <w:spacing w:before="0" w:after="0" w:line="408" w:lineRule="auto"/>
      <w:outlineLvl w:val="1"/>
    </w:pPr>
    <w:rPr>
      <w:b/>
      <w:bCs/>
      <w:color w:val="1A1A1A"/>
      <w:sz w:val="32"/>
      <w:szCs w:val="32"/>
    </w:rPr>
  </w:style>
  <w:style w:type="paragraph" w:styleId="6">
    <w:name w:val="heading 3"/>
    <w:basedOn w:val="1"/>
    <w:next w:val="1"/>
    <w:qFormat/>
    <w:uiPriority w:val="9"/>
    <w:pPr>
      <w:keepNext/>
      <w:keepLines/>
      <w:spacing w:before="0" w:after="0" w:line="408" w:lineRule="auto"/>
      <w:outlineLvl w:val="2"/>
    </w:pPr>
    <w:rPr>
      <w:b/>
      <w:bCs/>
      <w:color w:val="1A1A1A"/>
      <w:sz w:val="28"/>
      <w:szCs w:val="28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ind w:firstLine="420"/>
    </w:pPr>
  </w:style>
  <w:style w:type="paragraph" w:styleId="3">
    <w:name w:val="Body Text Indent"/>
    <w:basedOn w:val="1"/>
    <w:qFormat/>
    <w:uiPriority w:val="0"/>
    <w:pPr>
      <w:ind w:firstLine="480"/>
    </w:pPr>
    <w:rPr>
      <w:rFonts w:ascii="宋体"/>
    </w:rPr>
  </w:style>
  <w:style w:type="paragraph" w:styleId="7">
    <w:name w:val="Normal Indent"/>
    <w:basedOn w:val="1"/>
    <w:qFormat/>
    <w:uiPriority w:val="0"/>
    <w:pPr>
      <w:tabs>
        <w:tab w:val="left" w:pos="-540"/>
      </w:tabs>
      <w:spacing w:before="100" w:beforeAutospacing="1" w:after="240" w:line="360" w:lineRule="auto"/>
      <w:ind w:firstLine="420"/>
    </w:pPr>
    <w:rPr>
      <w:rFonts w:ascii="宋体" w:hAnsi="宋体"/>
      <w:sz w:val="24"/>
      <w:szCs w:val="20"/>
      <w:lang w:val="zh-CN"/>
    </w:rPr>
  </w:style>
  <w:style w:type="paragraph" w:styleId="8">
    <w:name w:val="Body Text"/>
    <w:basedOn w:val="1"/>
    <w:next w:val="1"/>
    <w:qFormat/>
    <w:uiPriority w:val="0"/>
    <w:pPr>
      <w:spacing w:after="120"/>
    </w:pPr>
  </w:style>
  <w:style w:type="paragraph" w:styleId="9">
    <w:name w:val="toc 3"/>
    <w:basedOn w:val="1"/>
    <w:next w:val="1"/>
    <w:semiHidden/>
    <w:unhideWhenUsed/>
    <w:qFormat/>
    <w:uiPriority w:val="39"/>
    <w:pPr>
      <w:ind w:left="840" w:leftChars="400"/>
    </w:pPr>
  </w:style>
  <w:style w:type="paragraph" w:styleId="10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unhideWhenUsed/>
    <w:qFormat/>
    <w:uiPriority w:val="39"/>
  </w:style>
  <w:style w:type="paragraph" w:styleId="13">
    <w:name w:val="Sub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1"/>
    </w:pPr>
    <w:rPr>
      <w:b/>
      <w:bCs/>
      <w:color w:val="5C5C5C"/>
      <w:sz w:val="36"/>
      <w:szCs w:val="36"/>
    </w:rPr>
  </w:style>
  <w:style w:type="paragraph" w:styleId="14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qFormat/>
    <w:uiPriority w:val="9"/>
    <w:pPr>
      <w:keepNext/>
      <w:keepLines/>
      <w:spacing w:before="0" w:after="0"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18">
    <w:name w:val="Table Grid"/>
    <w:basedOn w:val="17"/>
    <w:qFormat/>
    <w:uiPriority w:val="39"/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20">
    <w:name w:val="Hyperlink"/>
    <w:basedOn w:val="1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21">
    <w:name w:val="List Paragraph"/>
    <w:basedOn w:val="1"/>
    <w:qFormat/>
    <w:uiPriority w:val="34"/>
    <w:pPr>
      <w:widowControl w:val="0"/>
      <w:adjustRightInd/>
      <w:snapToGrid/>
      <w:spacing w:after="0"/>
      <w:ind w:firstLine="420" w:firstLineChars="200"/>
      <w:jc w:val="both"/>
    </w:pPr>
    <w:rPr>
      <w:rFonts w:ascii="Calibri" w:hAnsi="Calibri" w:eastAsia="宋体"/>
      <w:kern w:val="2"/>
      <w:sz w:val="21"/>
    </w:rPr>
  </w:style>
  <w:style w:type="paragraph" w:customStyle="1" w:styleId="22">
    <w:name w:val="msolistparagraph"/>
    <w:basedOn w:val="1"/>
    <w:qFormat/>
    <w:uiPriority w:val="0"/>
    <w:pPr>
      <w:spacing w:line="240" w:lineRule="auto"/>
      <w:ind w:firstLine="420"/>
    </w:pPr>
    <w:rPr>
      <w:rFonts w:ascii="Calibri" w:hAnsi="Calibri"/>
      <w:sz w:val="21"/>
      <w:szCs w:val="20"/>
    </w:rPr>
  </w:style>
  <w:style w:type="paragraph" w:customStyle="1" w:styleId="2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5">
    <w:name w:val="WPSOffice手动目录 3"/>
    <w:qFormat/>
    <w:uiPriority w:val="0"/>
    <w:pPr>
      <w:ind w:leftChars="4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3310</Words>
  <Characters>3495</Characters>
  <TotalTime>60</TotalTime>
  <ScaleCrop>false</ScaleCrop>
  <LinksUpToDate>false</LinksUpToDate>
  <CharactersWithSpaces>3503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2023-02-26T17:26:00Z</dcterms:created>
  <dc:creator>27812</dc:creator>
  <cp:lastModifiedBy>宋春花</cp:lastModifiedBy>
  <cp:lastPrinted>2024-05-30T10:14:00Z</cp:lastPrinted>
  <dcterms:modified xsi:type="dcterms:W3CDTF">2026-03-31T08:27:48Z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1686AF49EDF94E4FAC57F2693253842D_13</vt:lpwstr>
  </property>
  <property fmtid="{D5CDD505-2E9C-101B-9397-08002B2CF9AE}" pid="4" name="KSOTemplateDocerSaveRecord">
    <vt:lpwstr>eyJoZGlkIjoiMTI0ODkwZWFlYTc1ZDFjM2IyNmM4NTc2MTJmNzI5MDUiLCJ1c2VySWQiOiIxNzc5ODY2MjkwIn0=</vt:lpwstr>
  </property>
</Properties>
</file>