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附件1：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外墙修复类型现场照片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修复类型1：大面积脱落修复</w:t>
      </w: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drawing>
          <wp:inline distT="0" distB="0" distL="114300" distR="114300">
            <wp:extent cx="3239770" cy="3159125"/>
            <wp:effectExtent l="0" t="0" r="1778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315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明理楼东侧面，面积约234.36平方米</w:t>
      </w: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修复类型2：零星脱落修复，主要集中在宿舍楼、教学楼等</w:t>
      </w:r>
    </w:p>
    <w:p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drawing>
          <wp:inline distT="0" distB="0" distL="114300" distR="114300">
            <wp:extent cx="3686175" cy="3516630"/>
            <wp:effectExtent l="0" t="0" r="952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351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F04E85"/>
    <w:rsid w:val="42F04E85"/>
    <w:rsid w:val="7AB9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2026-10-13T07:00:00Z</dcterms:created>
  <dc:creator>田昶</dc:creator>
  <cp:lastModifiedBy>田昶</cp:lastModifiedBy>
  <dcterms:modified xsi:type="dcterms:W3CDTF">2026-10-13T07:19:37Z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205AEA55615F4087BE255EBEBC9161BB</vt:lpwstr>
  </property>
</Properties>
</file>