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60633E">
      <w:pPr>
        <w:spacing w:line="580" w:lineRule="exact"/>
        <w:rPr>
          <w:rFonts w:hint="eastAsia" w:ascii="黑体" w:hAnsi="黑体" w:eastAsia="黑体"/>
          <w:sz w:val="28"/>
          <w:szCs w:val="28"/>
        </w:rPr>
      </w:pPr>
    </w:p>
    <w:p w14:paraId="53C25499">
      <w:pPr>
        <w:spacing w:line="580" w:lineRule="exact"/>
        <w:jc w:val="center"/>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内江卫生与健康职业学院大屏集中管控平台采购项目服务要求</w:t>
      </w:r>
    </w:p>
    <w:p w14:paraId="7A4E8C3E">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lang w:val="en-US" w:eastAsia="zh-CN"/>
        </w:rPr>
      </w:pPr>
    </w:p>
    <w:p w14:paraId="13576A5E">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一、基本情况</w:t>
      </w:r>
    </w:p>
    <w:p w14:paraId="56754B4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为保障学院教学质量和效率，快速定位并解决硬件故障，便于集中管控和运维，我院近期拟采购8套大屏集中管控平台，并且对原有11台希沃大屏管控进行授权升级，使大屏能集中管控运维。</w:t>
      </w:r>
    </w:p>
    <w:p w14:paraId="405ADEC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二、技术要求</w:t>
      </w:r>
    </w:p>
    <w:p w14:paraId="2B93538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1、系统采用模块化的架构设计B/S架构，通过浏览器打开并用微信扫码登录、账号密码登录和微信授权登录完成鉴权，即可使用数字校园产品的各项功能模块。</w:t>
      </w:r>
    </w:p>
    <w:p w14:paraId="571B909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2、基于Web浏览器，提供用户统一登录认证功能，包括：手机号码注册、登录、忘记密码、扫码登录、账号管理功能。</w:t>
      </w:r>
    </w:p>
    <w:p w14:paraId="696348E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支持自定义设备类型及数量，掌握校内设备资产分布情况；支持根据老师、学科、设备三大维度查看设备使用排行，并提供信息化设备利用率提升指南。支持查看本校常用软件、网址访问排行、全校设备画面截图；支持查看设备网络负载、硬件负载情况，并提供网络优化、硬件升级指南。</w:t>
      </w:r>
    </w:p>
    <w:p w14:paraId="4CD7C23B">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4、支持自定义巡视水印类型、水印内容及水印颜色等设置，设置水印后，巡视过程中的摄像头画面和设备屏幕画面都会增加水印信息；支持自定义过滤摄像头、麦克风。</w:t>
      </w:r>
    </w:p>
    <w:p w14:paraId="6C27F10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5、提供个性化工作台自定义功能，在工作台配置页面，可通过拖拉拽可视化配置组件的方式，完成个性化工作台的配置；工作台可配置组件数量不少于30个；支持给每个工作台配置不同的使用角色；同时工作台支持启用和停用管理。提供应用中心应用管理功能，包含网页端和移动端的应用管理，包括应用安装、应用卸载、自定义分类、移动应用分类。</w:t>
      </w:r>
    </w:p>
    <w:p w14:paraId="08A28CA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6、支持远程批量清理设备磁盘；支持清理指定磁盘的指定文件夹；支持清理系统盘备份、缓存、日志等文件；支持迁移系统盘视频、图片、音乐、文档文件；支持格式化非系统盘磁盘。支持远程向已冰冻的设备发送指令、安装软件，在设备正常关机时触发穿透动作，穿透完成后，设备即可使用已安装软件、执行已接收指令，且穿透过程中无需人为解冻。</w:t>
      </w:r>
    </w:p>
    <w:p w14:paraId="2FE98F06">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7、支持AI自动监测设备画面色情、恐怖、游戏等风险内容或元素；支持设置警告内容，当监测到不良画面后自动提醒；支持按设备、按画面维度回溯历史监测到的不良画面信息。支持实时强制转播时事新闻，支持新闻网页地址、纯视频文件2种转播方式；支持立即、定时、周循环3种循环模式；支持指定设备定向发布内容。</w:t>
      </w:r>
    </w:p>
    <w:p w14:paraId="5BC9BCFD">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8、支持实时查看和导出学校设备整体使用数据，并支持查看具体设备数据。数据包含设备的使用时长、活跃次数、常用软件使用时长和次数、教学应用使用情况、设备健康度分析、弹窗拦截次数、老师使用设备教学情况。</w:t>
      </w:r>
    </w:p>
    <w:p w14:paraId="59C9EEDE">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9、支持根据网络带宽利用率分析网络稳定性并提供优化方案；支持根据硬件参数及流畅度达标情况分析设备运行稳定性并提供优化方案；支持根据安全服务开启情况分析设备运行风险并提供优化方案。支持根据各学科/设备/老师使用数据分析经验丰富的老师，并提供信息化素养提升建议；支持根据不同类型软件的使用明细分析本校常用软件，并提供软件普及、替换或拦截建议。</w:t>
      </w:r>
    </w:p>
    <w:p w14:paraId="7B03FB6C">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三、服务要求</w:t>
      </w:r>
    </w:p>
    <w:p w14:paraId="2E05D376">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黑体" w:hAnsi="黑体" w:eastAsia="黑体" w:cs="黑体"/>
          <w:kern w:val="2"/>
          <w:sz w:val="32"/>
          <w:szCs w:val="32"/>
          <w:lang w:val="en-US" w:eastAsia="zh-CN" w:bidi="ar-SA"/>
        </w:rPr>
      </w:pPr>
      <w:r>
        <w:rPr>
          <w:rFonts w:hint="eastAsia" w:ascii="仿宋_GB2312" w:hAnsi="仿宋_GB2312" w:eastAsia="仿宋_GB2312" w:cs="仿宋_GB2312"/>
          <w:sz w:val="32"/>
          <w:szCs w:val="32"/>
          <w:lang w:val="en-US" w:eastAsia="zh-CN"/>
        </w:rPr>
        <w:t>提供8套大屏集中管控平台，以及对原有11台希沃大屏（型号：希沃FF75EA</w:t>
      </w:r>
      <w:bookmarkStart w:id="0" w:name="_GoBack"/>
      <w:bookmarkEnd w:id="0"/>
      <w:r>
        <w:rPr>
          <w:rFonts w:hint="eastAsia" w:ascii="仿宋_GB2312" w:hAnsi="仿宋_GB2312" w:eastAsia="仿宋_GB2312" w:cs="仿宋_GB2312"/>
          <w:sz w:val="32"/>
          <w:szCs w:val="32"/>
          <w:lang w:val="en-US" w:eastAsia="zh-CN"/>
        </w:rPr>
        <w:t>）管控平台授权进行免费升级，实现19台大屏同一平台集中管控运维。</w:t>
      </w:r>
    </w:p>
    <w:p w14:paraId="22A5B63E">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四、服务期限</w:t>
      </w:r>
    </w:p>
    <w:p w14:paraId="66E18826">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永久授权。</w:t>
      </w:r>
    </w:p>
    <w:p w14:paraId="3D7F6975">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五、调研反馈材料</w:t>
      </w:r>
    </w:p>
    <w:p w14:paraId="1B4B8C0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授权费用报价。</w:t>
      </w:r>
    </w:p>
    <w:p w14:paraId="12FBE75E">
      <w:pPr>
        <w:spacing w:line="580" w:lineRule="exact"/>
        <w:ind w:right="1359" w:rightChars="647" w:firstLine="640" w:firstLineChars="200"/>
        <w:jc w:val="right"/>
        <w:rPr>
          <w:rFonts w:hint="eastAsia" w:ascii="仿宋_GB2312" w:hAnsi="仿宋_GB2312" w:eastAsia="仿宋_GB2312"/>
          <w:sz w:val="32"/>
          <w:szCs w:val="32"/>
          <w:lang w:eastAsia="zh-CN"/>
        </w:rPr>
      </w:pPr>
    </w:p>
    <w:p w14:paraId="408A5F9B">
      <w:pPr>
        <w:keepNext w:val="0"/>
        <w:keepLines w:val="0"/>
        <w:pageBreakBefore w:val="0"/>
        <w:widowControl w:val="0"/>
        <w:kinsoku/>
        <w:wordWrap/>
        <w:overflowPunct/>
        <w:topLinePunct w:val="0"/>
        <w:autoSpaceDE/>
        <w:autoSpaceDN/>
        <w:bidi w:val="0"/>
        <w:adjustRightInd/>
        <w:snapToGrid w:val="0"/>
        <w:spacing w:line="580" w:lineRule="exact"/>
        <w:ind w:right="1359" w:rightChars="647" w:firstLine="640" w:firstLineChars="200"/>
        <w:jc w:val="left"/>
        <w:textAlignment w:val="auto"/>
        <w:rPr>
          <w:rFonts w:hint="eastAsia" w:ascii="仿宋_GB2312" w:hAnsi="仿宋_GB2312" w:eastAsia="仿宋_GB2312"/>
          <w:sz w:val="32"/>
          <w:szCs w:val="32"/>
          <w:lang w:eastAsia="zh-CN"/>
        </w:rPr>
      </w:pPr>
      <w:r>
        <w:rPr>
          <w:rFonts w:hint="eastAsia" w:ascii="仿宋_GB2312" w:hAnsi="仿宋_GB2312" w:eastAsia="仿宋_GB2312"/>
          <w:sz w:val="32"/>
          <w:szCs w:val="32"/>
          <w:lang w:val="en-US" w:eastAsia="zh-CN"/>
        </w:rPr>
        <w:t xml:space="preserve">                 </w:t>
      </w:r>
      <w:r>
        <w:rPr>
          <w:rFonts w:hint="eastAsia" w:ascii="仿宋_GB2312" w:hAnsi="仿宋_GB2312" w:eastAsia="仿宋_GB2312"/>
          <w:sz w:val="32"/>
          <w:szCs w:val="32"/>
          <w:lang w:eastAsia="zh-CN"/>
        </w:rPr>
        <w:t>内江卫生与健康职业学院</w:t>
      </w:r>
    </w:p>
    <w:p w14:paraId="2FABA6BB">
      <w:pPr>
        <w:keepNext w:val="0"/>
        <w:keepLines w:val="0"/>
        <w:pageBreakBefore w:val="0"/>
        <w:widowControl w:val="0"/>
        <w:kinsoku/>
        <w:wordWrap/>
        <w:overflowPunct/>
        <w:topLinePunct w:val="0"/>
        <w:autoSpaceDE/>
        <w:autoSpaceDN/>
        <w:bidi w:val="0"/>
        <w:adjustRightInd/>
        <w:snapToGrid w:val="0"/>
        <w:spacing w:line="580" w:lineRule="exact"/>
        <w:ind w:right="1359" w:rightChars="647" w:firstLine="640" w:firstLineChars="200"/>
        <w:jc w:val="left"/>
        <w:textAlignment w:val="auto"/>
        <w:rPr>
          <w:rFonts w:ascii="仿宋_GB2312" w:hAnsi="仿宋_GB2312" w:eastAsia="仿宋_GB2312"/>
          <w:sz w:val="32"/>
          <w:szCs w:val="32"/>
        </w:rPr>
      </w:pPr>
      <w:r>
        <w:rPr>
          <w:rFonts w:hint="eastAsia" w:ascii="仿宋_GB2312" w:hAnsi="仿宋_GB2312" w:eastAsia="仿宋_GB2312"/>
          <w:sz w:val="32"/>
          <w:szCs w:val="32"/>
          <w:lang w:val="en-US" w:eastAsia="zh-CN"/>
        </w:rPr>
        <w:t xml:space="preserve">                     </w:t>
      </w:r>
      <w:r>
        <w:rPr>
          <w:rFonts w:hint="eastAsia" w:ascii="仿宋_GB2312" w:hAnsi="仿宋_GB2312" w:eastAsia="仿宋_GB2312"/>
          <w:sz w:val="32"/>
          <w:szCs w:val="32"/>
        </w:rPr>
        <w:t>202</w:t>
      </w:r>
      <w:r>
        <w:rPr>
          <w:rFonts w:hint="eastAsia" w:ascii="仿宋_GB2312" w:hAnsi="仿宋_GB2312" w:eastAsia="仿宋_GB2312"/>
          <w:sz w:val="32"/>
          <w:szCs w:val="32"/>
          <w:lang w:val="en-US" w:eastAsia="zh-CN"/>
        </w:rPr>
        <w:t>6</w:t>
      </w:r>
      <w:r>
        <w:rPr>
          <w:rFonts w:hint="eastAsia" w:ascii="仿宋_GB2312" w:hAnsi="仿宋_GB2312" w:eastAsia="仿宋_GB2312"/>
          <w:sz w:val="32"/>
          <w:szCs w:val="32"/>
        </w:rPr>
        <w:t>年</w:t>
      </w:r>
      <w:r>
        <w:rPr>
          <w:rFonts w:hint="eastAsia" w:ascii="仿宋_GB2312" w:hAnsi="仿宋_GB2312" w:eastAsia="仿宋_GB2312"/>
          <w:sz w:val="32"/>
          <w:szCs w:val="32"/>
          <w:lang w:val="en-US" w:eastAsia="zh-CN"/>
        </w:rPr>
        <w:t>4</w:t>
      </w:r>
      <w:r>
        <w:rPr>
          <w:rFonts w:hint="eastAsia" w:ascii="仿宋_GB2312" w:hAnsi="仿宋_GB2312" w:eastAsia="仿宋_GB2312"/>
          <w:sz w:val="32"/>
          <w:szCs w:val="32"/>
        </w:rPr>
        <w:t>月</w:t>
      </w:r>
      <w:r>
        <w:rPr>
          <w:rFonts w:hint="eastAsia" w:ascii="仿宋_GB2312" w:hAnsi="仿宋_GB2312" w:eastAsia="仿宋_GB2312"/>
          <w:sz w:val="32"/>
          <w:szCs w:val="32"/>
          <w:lang w:val="en-US" w:eastAsia="zh-CN"/>
        </w:rPr>
        <w:t>29</w:t>
      </w:r>
      <w:r>
        <w:rPr>
          <w:rFonts w:hint="eastAsia" w:ascii="仿宋_GB2312" w:hAnsi="仿宋_GB2312" w:eastAsia="仿宋_GB2312"/>
          <w:sz w:val="32"/>
          <w:szCs w:val="32"/>
        </w:rPr>
        <w:t>日</w:t>
      </w:r>
    </w:p>
    <w:p w14:paraId="4F7A53F3">
      <w:pPr>
        <w:keepNext w:val="0"/>
        <w:keepLines w:val="0"/>
        <w:pageBreakBefore w:val="0"/>
        <w:widowControl w:val="0"/>
        <w:kinsoku/>
        <w:wordWrap/>
        <w:overflowPunct/>
        <w:topLinePunct w:val="0"/>
        <w:autoSpaceDE/>
        <w:autoSpaceDN/>
        <w:bidi w:val="0"/>
        <w:adjustRightInd/>
        <w:snapToGrid w:val="0"/>
        <w:jc w:val="left"/>
        <w:textAlignment w:val="auto"/>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886A7E"/>
    <w:rsid w:val="0F436826"/>
    <w:rsid w:val="1D886A7E"/>
    <w:rsid w:val="39732EE7"/>
    <w:rsid w:val="54994FBA"/>
    <w:rsid w:val="5ECD6C16"/>
    <w:rsid w:val="769C42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1280</Words>
  <Characters>1293</Characters>
  <Lines>0</Lines>
  <Paragraphs>0</Paragraphs>
  <TotalTime>12</TotalTime>
  <ScaleCrop>false</ScaleCrop>
  <LinksUpToDate>false</LinksUpToDate>
  <CharactersWithSpaces>1331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2026-04-27T02:59:00Z</dcterms:created>
  <dc:creator>江南</dc:creator>
  <cp:lastModifiedBy>宋春花</cp:lastModifiedBy>
  <dcterms:modified xsi:type="dcterms:W3CDTF">2026-04-29T06:29:25Z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AD9B6B7662B4473B85A51988210D2C78_13</vt:lpwstr>
  </property>
  <property fmtid="{D5CDD505-2E9C-101B-9397-08002B2CF9AE}" pid="4" name="KSOTemplateDocerSaveRecord">
    <vt:lpwstr>eyJoZGlkIjoiMTI0ODkwZWFlYTc1ZDFjM2IyNmM4NTc2MTJmNzI5MDUiLCJ1c2VySWQiOiIxNzc5ODY2MjkwIn0=</vt:lpwstr>
  </property>
</Properties>
</file>