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7B8E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招标采购代理机构比选评分细则</w:t>
      </w:r>
    </w:p>
    <w:bookmarkEnd w:id="0"/>
    <w:p w14:paraId="1674DF2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tbl>
      <w:tblPr>
        <w:tblStyle w:val="6"/>
        <w:tblW w:w="4875" w:type="pct"/>
        <w:tblInd w:w="1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"/>
        <w:gridCol w:w="665"/>
        <w:gridCol w:w="696"/>
        <w:gridCol w:w="6888"/>
      </w:tblGrid>
      <w:tr w14:paraId="49DDAC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tblHeader/>
        </w:trPr>
        <w:tc>
          <w:tcPr>
            <w:tcW w:w="625" w:type="pct"/>
            <w:gridSpan w:val="2"/>
            <w:shd w:val="clear" w:color="auto" w:fill="D9D9D9"/>
            <w:noWrap/>
            <w:vAlign w:val="center"/>
          </w:tcPr>
          <w:p w14:paraId="71C0A62C">
            <w:pPr>
              <w:widowControl/>
              <w:jc w:val="center"/>
              <w:rPr>
                <w:rFonts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评分项</w:t>
            </w:r>
          </w:p>
        </w:tc>
        <w:tc>
          <w:tcPr>
            <w:tcW w:w="401" w:type="pct"/>
            <w:shd w:val="clear" w:color="auto" w:fill="D9D9D9"/>
            <w:noWrap/>
            <w:vAlign w:val="center"/>
          </w:tcPr>
          <w:p w14:paraId="24CE530D">
            <w:pPr>
              <w:widowControl/>
              <w:jc w:val="center"/>
              <w:rPr>
                <w:rFonts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分值</w:t>
            </w:r>
          </w:p>
        </w:tc>
        <w:tc>
          <w:tcPr>
            <w:tcW w:w="3973" w:type="pct"/>
            <w:shd w:val="clear" w:color="auto" w:fill="D9D9D9"/>
            <w:noWrap/>
            <w:vAlign w:val="center"/>
          </w:tcPr>
          <w:p w14:paraId="017A398B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评分</w:t>
            </w:r>
            <w:r>
              <w:rPr>
                <w:rFonts w:hint="eastAsia" w:ascii="仿宋" w:hAnsi="仿宋" w:eastAsia="仿宋" w:cs="仿宋"/>
                <w:b/>
                <w:bCs/>
                <w:szCs w:val="21"/>
                <w:lang w:eastAsia="zh-CN"/>
              </w:rPr>
              <w:t>标准</w:t>
            </w:r>
          </w:p>
        </w:tc>
      </w:tr>
      <w:tr w14:paraId="7288CA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241" w:type="pct"/>
            <w:vAlign w:val="center"/>
          </w:tcPr>
          <w:p w14:paraId="164B8106">
            <w:pPr>
              <w:spacing w:afterLines="30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1</w:t>
            </w:r>
          </w:p>
        </w:tc>
        <w:tc>
          <w:tcPr>
            <w:tcW w:w="383" w:type="pct"/>
            <w:vAlign w:val="center"/>
          </w:tcPr>
          <w:p w14:paraId="34BB1D83">
            <w:pPr>
              <w:spacing w:afterLines="30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报价</w:t>
            </w:r>
          </w:p>
        </w:tc>
        <w:tc>
          <w:tcPr>
            <w:tcW w:w="401" w:type="pct"/>
            <w:noWrap/>
            <w:vAlign w:val="center"/>
          </w:tcPr>
          <w:p w14:paraId="0115E50A">
            <w:pPr>
              <w:spacing w:afterLines="30"/>
              <w:jc w:val="center"/>
              <w:rPr>
                <w:rFonts w:hint="default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9</w:t>
            </w:r>
          </w:p>
        </w:tc>
        <w:tc>
          <w:tcPr>
            <w:tcW w:w="3973" w:type="pct"/>
            <w:vAlign w:val="center"/>
          </w:tcPr>
          <w:p w14:paraId="1DA59118">
            <w:pPr>
              <w:ind w:left="0" w:leftChars="0" w:firstLine="0" w:firstLineChars="0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参考原国家计委“</w:t>
            </w:r>
            <w:r>
              <w:rPr>
                <w:rFonts w:hint="eastAsia" w:ascii="仿宋" w:hAnsi="仿宋" w:eastAsia="仿宋" w:cs="仿宋"/>
                <w:szCs w:val="21"/>
              </w:rPr>
              <w:t>计价格【2002】1980号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”</w:t>
            </w:r>
            <w:r>
              <w:rPr>
                <w:rFonts w:hint="eastAsia" w:ascii="仿宋" w:hAnsi="仿宋" w:eastAsia="仿宋" w:cs="仿宋"/>
                <w:szCs w:val="21"/>
              </w:rPr>
              <w:t>文规定的标准下浮率报价；基础分为5分，每下浮1%，加0.5分，最多加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szCs w:val="21"/>
              </w:rPr>
              <w:t>分。</w:t>
            </w:r>
          </w:p>
        </w:tc>
      </w:tr>
      <w:tr w14:paraId="41C621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241" w:type="pct"/>
            <w:vAlign w:val="center"/>
          </w:tcPr>
          <w:p w14:paraId="026D9A87">
            <w:pPr>
              <w:spacing w:afterLines="30"/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2</w:t>
            </w:r>
          </w:p>
        </w:tc>
        <w:tc>
          <w:tcPr>
            <w:tcW w:w="383" w:type="pct"/>
            <w:vAlign w:val="center"/>
          </w:tcPr>
          <w:p w14:paraId="4929D4AF">
            <w:pPr>
              <w:spacing w:afterLines="30"/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资质</w:t>
            </w:r>
          </w:p>
        </w:tc>
        <w:tc>
          <w:tcPr>
            <w:tcW w:w="401" w:type="pct"/>
            <w:noWrap/>
            <w:vAlign w:val="center"/>
          </w:tcPr>
          <w:p w14:paraId="5E61B989">
            <w:pPr>
              <w:spacing w:afterLines="30"/>
              <w:jc w:val="center"/>
              <w:rPr>
                <w:rFonts w:hint="default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10</w:t>
            </w:r>
          </w:p>
        </w:tc>
        <w:tc>
          <w:tcPr>
            <w:tcW w:w="3973" w:type="pct"/>
            <w:vAlign w:val="center"/>
          </w:tcPr>
          <w:p w14:paraId="74674B2C">
            <w:pPr>
              <w:ind w:left="0" w:leftChars="0" w:firstLine="0" w:firstLineChars="0"/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>1</w:t>
            </w:r>
            <w:r>
              <w:rPr>
                <w:rFonts w:hint="default" w:ascii="仿宋" w:hAnsi="仿宋" w:eastAsia="仿宋" w:cs="仿宋"/>
                <w:color w:val="auto"/>
                <w:szCs w:val="21"/>
                <w:lang w:val="en-US" w:eastAsia="zh-CN"/>
              </w:rPr>
              <w:t>.投标人具有质量管理体系认证证书、环境管理体系认证证书、职业健康安全管理体系认证证书，每具有上述任意一项证书的得</w:t>
            </w: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>2</w:t>
            </w:r>
            <w:r>
              <w:rPr>
                <w:rFonts w:hint="default" w:ascii="仿宋" w:hAnsi="仿宋" w:eastAsia="仿宋" w:cs="仿宋"/>
                <w:color w:val="auto"/>
                <w:szCs w:val="21"/>
                <w:lang w:val="en-US" w:eastAsia="zh-CN"/>
              </w:rPr>
              <w:t>分，最多得</w:t>
            </w: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>6</w:t>
            </w:r>
            <w:r>
              <w:rPr>
                <w:rFonts w:hint="default" w:ascii="仿宋" w:hAnsi="仿宋" w:eastAsia="仿宋" w:cs="仿宋"/>
                <w:color w:val="auto"/>
                <w:szCs w:val="21"/>
                <w:lang w:val="en-US" w:eastAsia="zh-CN"/>
              </w:rPr>
              <w:t>分</w:t>
            </w: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>。</w:t>
            </w:r>
          </w:p>
          <w:p w14:paraId="5E814E35">
            <w:pPr>
              <w:ind w:left="0" w:leftChars="0" w:firstLine="0" w:firstLineChars="0"/>
              <w:rPr>
                <w:rFonts w:hint="default" w:ascii="仿宋" w:hAnsi="仿宋" w:eastAsia="仿宋" w:cs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>注：以上认证范围需包括招标代理或采购代理类业务，</w:t>
            </w:r>
            <w:r>
              <w:rPr>
                <w:rFonts w:hint="default" w:ascii="仿宋" w:hAnsi="仿宋" w:eastAsia="仿宋" w:cs="仿宋"/>
                <w:color w:val="auto"/>
                <w:szCs w:val="21"/>
                <w:lang w:val="en-US" w:eastAsia="zh-CN"/>
              </w:rPr>
              <w:t>提供在</w:t>
            </w: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>有效期的证书复印件加盖鲜章。</w:t>
            </w:r>
          </w:p>
          <w:p w14:paraId="5A62B07F">
            <w:pPr>
              <w:ind w:left="0" w:leftChars="0" w:firstLine="0" w:firstLineChars="0"/>
              <w:rPr>
                <w:rFonts w:hint="default" w:ascii="仿宋" w:hAnsi="仿宋" w:eastAsia="仿宋" w:cs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>2</w:t>
            </w:r>
            <w:r>
              <w:rPr>
                <w:rFonts w:hint="default" w:ascii="仿宋" w:hAnsi="仿宋" w:eastAsia="仿宋" w:cs="仿宋"/>
                <w:color w:val="auto"/>
                <w:szCs w:val="21"/>
                <w:lang w:val="en-US" w:eastAsia="zh-CN"/>
              </w:rPr>
              <w:t>.202</w:t>
            </w: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>3</w:t>
            </w:r>
            <w:r>
              <w:rPr>
                <w:rFonts w:hint="default" w:ascii="仿宋" w:hAnsi="仿宋" w:eastAsia="仿宋" w:cs="仿宋"/>
                <w:color w:val="auto"/>
                <w:szCs w:val="21"/>
                <w:lang w:val="en-US" w:eastAsia="zh-CN"/>
              </w:rPr>
              <w:t>年以来，投标人纳税信用评级均为A级得</w:t>
            </w: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>4</w:t>
            </w:r>
            <w:r>
              <w:rPr>
                <w:rFonts w:hint="default" w:ascii="仿宋" w:hAnsi="仿宋" w:eastAsia="仿宋" w:cs="仿宋"/>
                <w:color w:val="auto"/>
                <w:szCs w:val="21"/>
                <w:lang w:val="en-US" w:eastAsia="zh-CN"/>
              </w:rPr>
              <w:t>分。</w:t>
            </w:r>
          </w:p>
          <w:p w14:paraId="5104E546">
            <w:pPr>
              <w:ind w:left="0" w:leftChars="0" w:firstLine="0" w:firstLineChars="0"/>
              <w:rPr>
                <w:rFonts w:hint="default" w:ascii="仿宋" w:hAnsi="仿宋" w:eastAsia="仿宋" w:cs="仿宋"/>
                <w:color w:val="auto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szCs w:val="21"/>
                <w:lang w:val="en-US" w:eastAsia="zh-CN"/>
              </w:rPr>
              <w:t>注</w:t>
            </w: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>：</w:t>
            </w:r>
            <w:r>
              <w:rPr>
                <w:rFonts w:hint="default" w:ascii="仿宋" w:hAnsi="仿宋" w:eastAsia="仿宋" w:cs="仿宋"/>
                <w:color w:val="auto"/>
                <w:szCs w:val="21"/>
                <w:lang w:val="en-US" w:eastAsia="zh-CN"/>
              </w:rPr>
              <w:t>以信用中国或天眼查为准。</w:t>
            </w:r>
          </w:p>
        </w:tc>
      </w:tr>
      <w:tr w14:paraId="71DCC3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6" w:hRule="atLeast"/>
        </w:trPr>
        <w:tc>
          <w:tcPr>
            <w:tcW w:w="241" w:type="pct"/>
            <w:vAlign w:val="center"/>
          </w:tcPr>
          <w:p w14:paraId="6631F23B">
            <w:pPr>
              <w:spacing w:afterLines="30"/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</w:t>
            </w:r>
          </w:p>
        </w:tc>
        <w:tc>
          <w:tcPr>
            <w:tcW w:w="383" w:type="pct"/>
            <w:vAlign w:val="center"/>
          </w:tcPr>
          <w:p w14:paraId="046DCFF4">
            <w:pPr>
              <w:spacing w:afterLines="30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业绩案例</w:t>
            </w:r>
          </w:p>
        </w:tc>
        <w:tc>
          <w:tcPr>
            <w:tcW w:w="401" w:type="pct"/>
            <w:noWrap/>
            <w:vAlign w:val="center"/>
          </w:tcPr>
          <w:p w14:paraId="3B25F701">
            <w:pPr>
              <w:spacing w:afterLines="30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25</w:t>
            </w:r>
          </w:p>
        </w:tc>
        <w:tc>
          <w:tcPr>
            <w:tcW w:w="3973" w:type="pct"/>
            <w:vAlign w:val="center"/>
          </w:tcPr>
          <w:p w14:paraId="30EEE5EF">
            <w:pPr>
              <w:ind w:left="0" w:leftChars="0" w:firstLine="0" w:firstLineChars="0"/>
              <w:rPr>
                <w:rFonts w:hint="eastAsia" w:ascii="仿宋" w:hAnsi="仿宋" w:eastAsia="仿宋" w:cs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1.202</w:t>
            </w: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auto"/>
                <w:szCs w:val="21"/>
              </w:rPr>
              <w:t>年至今，投标人已完成100个政府采购代理项目的得6分</w:t>
            </w:r>
            <w:r>
              <w:rPr>
                <w:rFonts w:hint="eastAsia" w:ascii="仿宋" w:hAnsi="仿宋" w:eastAsia="仿宋" w:cs="仿宋"/>
                <w:color w:val="auto"/>
                <w:szCs w:val="21"/>
                <w:lang w:eastAsia="zh-CN"/>
              </w:rPr>
              <w:t>。</w:t>
            </w:r>
          </w:p>
          <w:p w14:paraId="198A3A60">
            <w:pPr>
              <w:ind w:left="0" w:leftChars="0" w:firstLine="0" w:firstLineChars="0"/>
              <w:rPr>
                <w:rFonts w:hint="eastAsia" w:ascii="仿宋" w:hAnsi="仿宋" w:eastAsia="仿宋" w:cs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color w:val="auto"/>
                <w:szCs w:val="21"/>
              </w:rPr>
              <w:t>.202</w:t>
            </w: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auto"/>
                <w:szCs w:val="21"/>
              </w:rPr>
              <w:t>年至今，投标人每代理一所全日制普通高校政府采购项目得1分，最多得4分</w:t>
            </w:r>
            <w:r>
              <w:rPr>
                <w:rFonts w:hint="eastAsia" w:ascii="仿宋" w:hAnsi="仿宋" w:eastAsia="仿宋" w:cs="仿宋"/>
                <w:color w:val="auto"/>
                <w:szCs w:val="21"/>
                <w:lang w:eastAsia="zh-CN"/>
              </w:rPr>
              <w:t>。</w:t>
            </w:r>
          </w:p>
          <w:p w14:paraId="108809D4">
            <w:pPr>
              <w:ind w:left="0" w:leftChars="0" w:firstLine="0" w:firstLineChars="0"/>
              <w:rPr>
                <w:rFonts w:hint="eastAsia" w:ascii="仿宋" w:hAnsi="仿宋" w:eastAsia="仿宋" w:cs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auto"/>
                <w:szCs w:val="21"/>
              </w:rPr>
              <w:t>.提供202</w:t>
            </w: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auto"/>
                <w:szCs w:val="21"/>
              </w:rPr>
              <w:t>年至今单个项目金额</w:t>
            </w: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>30</w:t>
            </w:r>
            <w:r>
              <w:rPr>
                <w:rFonts w:hint="eastAsia" w:ascii="仿宋" w:hAnsi="仿宋" w:eastAsia="仿宋" w:cs="仿宋"/>
                <w:color w:val="auto"/>
                <w:szCs w:val="21"/>
              </w:rPr>
              <w:t>00万元及以上的货物/服务类项目业绩案例，每提供1个得0.5分，本项最多得5分</w:t>
            </w: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>。</w:t>
            </w:r>
          </w:p>
          <w:p w14:paraId="5455149D">
            <w:pPr>
              <w:ind w:left="0" w:leftChars="0" w:firstLine="0" w:firstLineChars="0"/>
              <w:rPr>
                <w:rFonts w:hint="eastAsia" w:ascii="仿宋" w:hAnsi="仿宋" w:eastAsia="仿宋" w:cs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color w:val="auto"/>
                <w:szCs w:val="21"/>
              </w:rPr>
              <w:t>.提供202</w:t>
            </w: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auto"/>
                <w:szCs w:val="21"/>
              </w:rPr>
              <w:t>年至今单个项目金额1</w:t>
            </w: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>0</w:t>
            </w:r>
            <w:r>
              <w:rPr>
                <w:rFonts w:hint="eastAsia" w:ascii="仿宋" w:hAnsi="仿宋" w:eastAsia="仿宋" w:cs="仿宋"/>
                <w:color w:val="auto"/>
                <w:szCs w:val="21"/>
              </w:rPr>
              <w:t>00万元及以上</w:t>
            </w: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>30</w:t>
            </w:r>
            <w:r>
              <w:rPr>
                <w:rFonts w:hint="eastAsia" w:ascii="仿宋" w:hAnsi="仿宋" w:eastAsia="仿宋" w:cs="仿宋"/>
                <w:color w:val="auto"/>
                <w:szCs w:val="21"/>
              </w:rPr>
              <w:t>00万元以下的货物/服务类项目业绩案例，数量 1个的得0.5分，此项最高得5分</w:t>
            </w:r>
            <w:r>
              <w:rPr>
                <w:rFonts w:hint="eastAsia" w:ascii="仿宋" w:hAnsi="仿宋" w:eastAsia="仿宋" w:cs="仿宋"/>
                <w:color w:val="auto"/>
                <w:szCs w:val="21"/>
                <w:lang w:eastAsia="zh-CN"/>
              </w:rPr>
              <w:t>。</w:t>
            </w:r>
          </w:p>
          <w:p w14:paraId="3BDA14A7">
            <w:pPr>
              <w:pStyle w:val="2"/>
              <w:ind w:left="0" w:leftChars="0" w:hanging="6" w:firstLineChars="0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lang w:val="en-US" w:eastAsia="zh-CN" w:bidi="ar-SA"/>
              </w:rPr>
              <w:t>5.提供202</w:t>
            </w:r>
            <w:r>
              <w:rPr>
                <w:rFonts w:hint="eastAsia" w:cs="仿宋"/>
                <w:color w:val="auto"/>
                <w:kern w:val="2"/>
                <w:sz w:val="21"/>
                <w:szCs w:val="21"/>
                <w:lang w:val="en-US" w:eastAsia="zh-CN" w:bidi="ar-SA"/>
              </w:rPr>
              <w:t>3</w:t>
            </w:r>
            <w:r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lang w:val="en-US" w:eastAsia="zh-CN" w:bidi="ar-SA"/>
              </w:rPr>
              <w:t>年至今单个项目金额500万元及以上1000万元以下的货物/服务类项目业绩案例，数量 1个的得0.5分，此项最高得5分。</w:t>
            </w:r>
          </w:p>
          <w:p w14:paraId="0CA151A0">
            <w:pPr>
              <w:ind w:left="0" w:leftChars="0" w:firstLine="0" w:firstLineChars="0"/>
              <w:rPr>
                <w:rFonts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注：提供业绩案例清单，并附含有业主、代理机构名称的中标结果公告截图(须附无需登陆即可查询完整信息的网址，无网址或无效网址的为无效业绩)。</w:t>
            </w:r>
          </w:p>
        </w:tc>
      </w:tr>
      <w:tr w14:paraId="643A13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41" w:type="pct"/>
            <w:vAlign w:val="center"/>
          </w:tcPr>
          <w:p w14:paraId="646B9C85">
            <w:pPr>
              <w:spacing w:afterLines="30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4</w:t>
            </w:r>
          </w:p>
        </w:tc>
        <w:tc>
          <w:tcPr>
            <w:tcW w:w="383" w:type="pct"/>
            <w:vAlign w:val="center"/>
          </w:tcPr>
          <w:p w14:paraId="0171861B">
            <w:pPr>
              <w:spacing w:afterLines="30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人员配备</w:t>
            </w:r>
          </w:p>
        </w:tc>
        <w:tc>
          <w:tcPr>
            <w:tcW w:w="401" w:type="pct"/>
            <w:noWrap/>
            <w:vAlign w:val="center"/>
          </w:tcPr>
          <w:p w14:paraId="121E6E12">
            <w:pPr>
              <w:spacing w:afterLines="30"/>
              <w:jc w:val="center"/>
              <w:rPr>
                <w:rFonts w:hint="default" w:ascii="仿宋" w:hAnsi="仿宋" w:eastAsia="仿宋" w:cs="仿宋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30</w:t>
            </w:r>
          </w:p>
        </w:tc>
        <w:tc>
          <w:tcPr>
            <w:tcW w:w="3973" w:type="pct"/>
            <w:vAlign w:val="center"/>
          </w:tcPr>
          <w:p w14:paraId="59B985C1">
            <w:pPr>
              <w:ind w:left="0" w:leftChars="0" w:firstLine="0" w:firstLineChars="0"/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>1.代理机构从业人员大于等于100人得8分；从业人员大于等于50人小于100人得5分；从业人员大于等于15人小于50人得3分；从业人员小于15人不得分。（提供近一年任意时间段的社保证明文件，社保证明文件需包含人员姓名）。</w:t>
            </w:r>
          </w:p>
          <w:p w14:paraId="7F8AEE98">
            <w:pPr>
              <w:ind w:left="0" w:leftChars="0" w:firstLine="0" w:firstLineChars="0"/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 xml:space="preserve">2.代理机构从业人员具有四川省财政厅颁发的“政府采购代理机构从业人员培训证”的，低于5人不得分，在5人的基础上每增加一人，加1分，最高8分。（提供复印件，证书不限有效时间） </w:t>
            </w:r>
          </w:p>
          <w:p w14:paraId="5A0E476B">
            <w:pPr>
              <w:ind w:left="0" w:leftChars="0" w:firstLine="0" w:firstLineChars="0"/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>3.为本项目配置的人员中具有中级职称的得3分,高级职称的4分，本项最多得4分。（证明材料：提供职称证书）。</w:t>
            </w:r>
          </w:p>
          <w:p w14:paraId="7ED4C110">
            <w:pPr>
              <w:ind w:left="0" w:leftChars="0" w:firstLine="0" w:firstLineChars="0"/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>4.为本项目配置的项目负责人具备5年以上招标行业经验的得2分，具有相关专业中级职称加0.5分，高级职称加2分，具有四川省政府采购评审专家资格证或四川省评标专家证书加2分，具有高级招标师证书加2分;本项目最多得8分。（需提供证明材料，能够佐证项目负责人的行业经验，如不能佐证的，本项不得分）。</w:t>
            </w:r>
          </w:p>
          <w:p w14:paraId="583E21E7">
            <w:pPr>
              <w:ind w:left="0" w:leftChars="0" w:firstLine="0" w:firstLineChars="0"/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>5.配备服务团队中有法务人员或法律顾问的得2分(法律顾问可为单位聘用人员或聘请的第三方机构)</w:t>
            </w:r>
          </w:p>
          <w:p w14:paraId="7F01D7DD">
            <w:pPr>
              <w:ind w:left="0" w:leftChars="0" w:firstLine="0" w:firstLineChars="0"/>
              <w:rPr>
                <w:rFonts w:hint="default" w:ascii="仿宋" w:hAnsi="仿宋" w:eastAsia="仿宋" w:cs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>注:需提供相关证书复印件及单位与员工间的劳动关系证明;法律顾问提供劳动合同或聘用协议。</w:t>
            </w:r>
          </w:p>
        </w:tc>
      </w:tr>
      <w:tr w14:paraId="377E4B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241" w:type="pct"/>
            <w:vAlign w:val="center"/>
          </w:tcPr>
          <w:p w14:paraId="1B3F1E55">
            <w:pPr>
              <w:spacing w:afterLines="30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5</w:t>
            </w:r>
          </w:p>
        </w:tc>
        <w:tc>
          <w:tcPr>
            <w:tcW w:w="383" w:type="pct"/>
            <w:vAlign w:val="center"/>
          </w:tcPr>
          <w:p w14:paraId="11357B28">
            <w:pPr>
              <w:spacing w:afterLines="30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场地配备</w:t>
            </w:r>
          </w:p>
        </w:tc>
        <w:tc>
          <w:tcPr>
            <w:tcW w:w="401" w:type="pct"/>
            <w:noWrap/>
            <w:vAlign w:val="center"/>
          </w:tcPr>
          <w:p w14:paraId="339CCBAC">
            <w:pPr>
              <w:spacing w:afterLines="30"/>
              <w:jc w:val="center"/>
              <w:rPr>
                <w:rFonts w:hint="default" w:ascii="仿宋" w:hAnsi="仿宋" w:eastAsia="仿宋" w:cs="仿宋"/>
                <w:w w:val="8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10</w:t>
            </w:r>
          </w:p>
        </w:tc>
        <w:tc>
          <w:tcPr>
            <w:tcW w:w="3973" w:type="pct"/>
            <w:vAlign w:val="center"/>
          </w:tcPr>
          <w:p w14:paraId="741CBDB9">
            <w:pPr>
              <w:ind w:left="0" w:leftChars="0" w:firstLine="0" w:firstLineChars="0"/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>具备独立的开标、评标场所的：</w:t>
            </w:r>
          </w:p>
          <w:p w14:paraId="6A7D88DE">
            <w:pPr>
              <w:ind w:left="0" w:leftChars="0" w:firstLine="0" w:firstLineChars="0"/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>1.建筑面积大于等于1000㎡得6分；建筑面积大于等于500㎡小于1000㎡得3分；建筑面积大于等于300㎡小于500㎡得1分；建筑面积小于300㎡不得分。</w:t>
            </w:r>
          </w:p>
          <w:p w14:paraId="7BDC0EC9">
            <w:pPr>
              <w:ind w:left="0" w:leftChars="0" w:firstLine="0" w:firstLineChars="0"/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>2.有全程监控录像（音视频）的开标室一个得1分。</w:t>
            </w:r>
          </w:p>
          <w:p w14:paraId="4F3AA58C">
            <w:pPr>
              <w:ind w:left="0" w:leftChars="0" w:firstLine="0" w:firstLineChars="0"/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>3.有全程监控录像（音视频）的评标室一个得1分，每增加1个加0.5分，最多2分。</w:t>
            </w:r>
          </w:p>
          <w:p w14:paraId="287BF413">
            <w:pPr>
              <w:ind w:left="0" w:leftChars="0" w:firstLine="0" w:firstLineChars="0"/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>4.具有独立监控的业主休息、监督室一个得1分。</w:t>
            </w:r>
          </w:p>
          <w:p w14:paraId="1DDA7D2B">
            <w:pPr>
              <w:ind w:left="0" w:leftChars="0" w:firstLine="0" w:firstLineChars="0"/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>本项最多得11分。</w:t>
            </w:r>
          </w:p>
          <w:p w14:paraId="414E14B6">
            <w:pPr>
              <w:ind w:left="0" w:leftChars="0" w:firstLine="0" w:firstLineChars="0"/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>证明材料：提供房屋租赁合同或房屋产权证书、开评标场地实际照片，不齐全不得分。开标室、评标室、监控室不得为同一个区域（房间）,否则按一个功能区计算。</w:t>
            </w:r>
          </w:p>
        </w:tc>
      </w:tr>
      <w:tr w14:paraId="7DE3FB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241" w:type="pct"/>
            <w:vAlign w:val="center"/>
          </w:tcPr>
          <w:p w14:paraId="4420BFAF">
            <w:pPr>
              <w:spacing w:afterLines="30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6</w:t>
            </w:r>
          </w:p>
        </w:tc>
        <w:tc>
          <w:tcPr>
            <w:tcW w:w="383" w:type="pct"/>
            <w:vAlign w:val="center"/>
          </w:tcPr>
          <w:p w14:paraId="4FB8CF25">
            <w:pPr>
              <w:spacing w:afterLines="30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代理服务方案</w:t>
            </w:r>
          </w:p>
        </w:tc>
        <w:tc>
          <w:tcPr>
            <w:tcW w:w="401" w:type="pct"/>
            <w:noWrap/>
            <w:vAlign w:val="center"/>
          </w:tcPr>
          <w:p w14:paraId="536C6AC4">
            <w:pPr>
              <w:spacing w:afterLines="30"/>
              <w:jc w:val="center"/>
              <w:rPr>
                <w:rFonts w:hint="default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16</w:t>
            </w:r>
          </w:p>
        </w:tc>
        <w:tc>
          <w:tcPr>
            <w:tcW w:w="3973" w:type="pct"/>
            <w:vAlign w:val="center"/>
          </w:tcPr>
          <w:p w14:paraId="508A3ABF">
            <w:pPr>
              <w:ind w:left="0" w:leftChars="0" w:firstLine="0" w:firstLineChars="0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投标人提供完整的项目服务方案，包括但不限于以下几个方面:1.采购代理实施方案;2.项目人员配备;3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.</w:t>
            </w:r>
            <w:r>
              <w:rPr>
                <w:rFonts w:hint="eastAsia" w:ascii="仿宋" w:hAnsi="仿宋" w:eastAsia="仿宋" w:cs="仿宋"/>
                <w:szCs w:val="21"/>
              </w:rPr>
              <w:t>质量及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进度</w:t>
            </w:r>
            <w:r>
              <w:rPr>
                <w:rFonts w:hint="eastAsia" w:ascii="仿宋" w:hAnsi="仿宋" w:eastAsia="仿宋" w:cs="仿宋"/>
                <w:szCs w:val="21"/>
              </w:rPr>
              <w:t>保障措施;4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.</w:t>
            </w:r>
            <w:r>
              <w:rPr>
                <w:rFonts w:hint="eastAsia" w:ascii="仿宋" w:hAnsi="仿宋" w:eastAsia="仿宋" w:cs="仿宋"/>
                <w:szCs w:val="21"/>
              </w:rPr>
              <w:t>采购工作保密措施;5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.</w:t>
            </w:r>
            <w:r>
              <w:rPr>
                <w:rFonts w:hint="eastAsia" w:ascii="仿宋" w:hAnsi="仿宋" w:eastAsia="仿宋" w:cs="仿宋"/>
                <w:szCs w:val="21"/>
              </w:rPr>
              <w:t>突发事件预案;6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.</w:t>
            </w:r>
            <w:r>
              <w:rPr>
                <w:rFonts w:hint="eastAsia" w:ascii="仿宋" w:hAnsi="仿宋" w:eastAsia="仿宋" w:cs="仿宋"/>
                <w:szCs w:val="21"/>
              </w:rPr>
              <w:t>质疑投诉处理;7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.</w:t>
            </w:r>
            <w:r>
              <w:rPr>
                <w:rFonts w:hint="eastAsia" w:ascii="仿宋" w:hAnsi="仿宋" w:eastAsia="仿宋" w:cs="仿宋"/>
                <w:szCs w:val="21"/>
              </w:rPr>
              <w:t>档案管理;8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.</w:t>
            </w:r>
            <w:r>
              <w:rPr>
                <w:rFonts w:hint="eastAsia" w:ascii="仿宋" w:hAnsi="仿宋" w:eastAsia="仿宋" w:cs="仿宋"/>
                <w:szCs w:val="21"/>
              </w:rPr>
              <w:t>内控制度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。</w:t>
            </w:r>
          </w:p>
          <w:p w14:paraId="7C476E8D">
            <w:pPr>
              <w:ind w:left="0" w:leftChars="0" w:firstLine="0" w:firstLineChars="0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要求</w:t>
            </w:r>
            <w:r>
              <w:rPr>
                <w:rFonts w:hint="eastAsia" w:ascii="仿宋" w:hAnsi="仿宋" w:eastAsia="仿宋" w:cs="仿宋"/>
                <w:szCs w:val="21"/>
              </w:rPr>
              <w:t>方案阐述清晰、团队分工明确、对本方案具体描述真实合理、工作流程及处理办法完善可行的得16分，每缺少一项内容的扣2分，每有一处内容存在缺陷的扣1分，扣完为止。此项最高得16分，</w:t>
            </w:r>
          </w:p>
        </w:tc>
      </w:tr>
      <w:tr w14:paraId="5E163C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241" w:type="pct"/>
            <w:vAlign w:val="center"/>
          </w:tcPr>
          <w:p w14:paraId="5FA9447D">
            <w:pPr>
              <w:spacing w:afterLines="30"/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7</w:t>
            </w:r>
          </w:p>
        </w:tc>
        <w:tc>
          <w:tcPr>
            <w:tcW w:w="383" w:type="pct"/>
            <w:vAlign w:val="center"/>
          </w:tcPr>
          <w:p w14:paraId="25F6C78A">
            <w:pPr>
              <w:spacing w:afterLines="30"/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不良记录</w:t>
            </w:r>
          </w:p>
        </w:tc>
        <w:tc>
          <w:tcPr>
            <w:tcW w:w="401" w:type="pct"/>
            <w:noWrap/>
            <w:vAlign w:val="center"/>
          </w:tcPr>
          <w:p w14:paraId="2BF2D90D">
            <w:pPr>
              <w:spacing w:afterLines="30"/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扣完为止</w:t>
            </w:r>
          </w:p>
        </w:tc>
        <w:tc>
          <w:tcPr>
            <w:tcW w:w="3973" w:type="pct"/>
            <w:vAlign w:val="center"/>
          </w:tcPr>
          <w:p w14:paraId="20F3C5A8">
            <w:pPr>
              <w:ind w:left="0" w:leftChars="0" w:firstLine="0" w:firstLineChars="0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代理机构从业以来，曾受到过内江市级及以上监督管理部门处罚(包括:通报、责令整改、行政处罚等)的每一个扣完为“通报”在总分中扣3分，每一个“责令整改”在总分中扣5分，每一个“行政处罚”(警告或罚款等)在总分中扣10分，扣完为止。</w:t>
            </w:r>
          </w:p>
          <w:p w14:paraId="4D534DDA">
            <w:pPr>
              <w:ind w:left="0" w:leftChars="0" w:firstLine="0" w:firstLineChars="0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注:提供承诺函，如存在虚假响应的将取消投标资格。</w:t>
            </w:r>
          </w:p>
        </w:tc>
      </w:tr>
    </w:tbl>
    <w:p w14:paraId="10D311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‌</w:t>
      </w:r>
    </w:p>
    <w:p w14:paraId="0F7955AD">
      <w:pPr>
        <w:pStyle w:val="2"/>
      </w:pPr>
    </w:p>
    <w:sectPr>
      <w:footerReference r:id="rId3" w:type="default"/>
      <w:pgSz w:w="11906" w:h="16838"/>
      <w:pgMar w:top="1928" w:right="1588" w:bottom="1814" w:left="164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5815156"/>
      <w:docPartObj>
        <w:docPartGallery w:val="autotext"/>
      </w:docPartObj>
    </w:sdtPr>
    <w:sdtContent>
      <w:p w14:paraId="3F3CCB58">
        <w:pPr>
          <w:pStyle w:val="4"/>
          <w:jc w:val="center"/>
        </w:pPr>
        <w:r>
          <w:rPr>
            <w:rFonts w:hint="eastAsia" w:asciiTheme="minorEastAsia" w:hAnsiTheme="minorEastAsia"/>
            <w:sz w:val="32"/>
            <w:szCs w:val="32"/>
          </w:rPr>
          <w:t>—</w:t>
        </w:r>
        <w:r>
          <w:rPr>
            <w:rFonts w:asciiTheme="minorEastAsia" w:hAnsiTheme="minorEastAsia"/>
            <w:sz w:val="32"/>
            <w:szCs w:val="32"/>
          </w:rPr>
          <w:fldChar w:fldCharType="begin"/>
        </w:r>
        <w:r>
          <w:rPr>
            <w:rFonts w:asciiTheme="minorEastAsia" w:hAnsiTheme="minorEastAsia"/>
            <w:sz w:val="32"/>
            <w:szCs w:val="32"/>
          </w:rPr>
          <w:instrText xml:space="preserve"> PAGE   \* MERGEFORMAT </w:instrText>
        </w:r>
        <w:r>
          <w:rPr>
            <w:rFonts w:asciiTheme="minorEastAsia" w:hAnsiTheme="minorEastAsia"/>
            <w:sz w:val="32"/>
            <w:szCs w:val="32"/>
          </w:rPr>
          <w:fldChar w:fldCharType="separate"/>
        </w:r>
        <w:r>
          <w:rPr>
            <w:rFonts w:asciiTheme="minorEastAsia" w:hAnsiTheme="minorEastAsia"/>
            <w:sz w:val="32"/>
            <w:szCs w:val="32"/>
            <w:lang w:val="zh-CN"/>
          </w:rPr>
          <w:t>4</w:t>
        </w:r>
        <w:r>
          <w:rPr>
            <w:rFonts w:asciiTheme="minorEastAsia" w:hAnsiTheme="minorEastAsia"/>
            <w:sz w:val="32"/>
            <w:szCs w:val="32"/>
          </w:rPr>
          <w:fldChar w:fldCharType="end"/>
        </w:r>
        <w:r>
          <w:rPr>
            <w:rFonts w:hint="eastAsia" w:asciiTheme="minorEastAsia" w:hAnsiTheme="minorEastAsia"/>
            <w:sz w:val="32"/>
            <w:szCs w:val="32"/>
          </w:rPr>
          <w:t>—</w:t>
        </w:r>
      </w:p>
    </w:sdtContent>
  </w:sdt>
  <w:p w14:paraId="7644EAA5"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392A"/>
    <w:rsid w:val="000547D1"/>
    <w:rsid w:val="000D6B63"/>
    <w:rsid w:val="00102857"/>
    <w:rsid w:val="001D58B4"/>
    <w:rsid w:val="001E1FFA"/>
    <w:rsid w:val="00212005"/>
    <w:rsid w:val="002750DC"/>
    <w:rsid w:val="002F736B"/>
    <w:rsid w:val="003126EF"/>
    <w:rsid w:val="00373C57"/>
    <w:rsid w:val="00374282"/>
    <w:rsid w:val="003E27E0"/>
    <w:rsid w:val="004520CD"/>
    <w:rsid w:val="004905C3"/>
    <w:rsid w:val="005255A5"/>
    <w:rsid w:val="00543950"/>
    <w:rsid w:val="005B00F3"/>
    <w:rsid w:val="005F690C"/>
    <w:rsid w:val="007333BA"/>
    <w:rsid w:val="007545B0"/>
    <w:rsid w:val="007C40F0"/>
    <w:rsid w:val="008643BF"/>
    <w:rsid w:val="00875709"/>
    <w:rsid w:val="008779D9"/>
    <w:rsid w:val="008C296E"/>
    <w:rsid w:val="00953B2C"/>
    <w:rsid w:val="00984500"/>
    <w:rsid w:val="009A7697"/>
    <w:rsid w:val="00A0132D"/>
    <w:rsid w:val="00A02032"/>
    <w:rsid w:val="00AC7231"/>
    <w:rsid w:val="00B52790"/>
    <w:rsid w:val="00BC13D3"/>
    <w:rsid w:val="00BF7310"/>
    <w:rsid w:val="00C30C9C"/>
    <w:rsid w:val="00C366DC"/>
    <w:rsid w:val="00C57252"/>
    <w:rsid w:val="00C96FD0"/>
    <w:rsid w:val="00CD1A4B"/>
    <w:rsid w:val="00DB17D1"/>
    <w:rsid w:val="00E2427F"/>
    <w:rsid w:val="00EB7441"/>
    <w:rsid w:val="00EC5D2F"/>
    <w:rsid w:val="00EF4A38"/>
    <w:rsid w:val="00EF7445"/>
    <w:rsid w:val="00F105FD"/>
    <w:rsid w:val="00F37FDF"/>
    <w:rsid w:val="00F53BE9"/>
    <w:rsid w:val="00F8392A"/>
    <w:rsid w:val="00FC7CA0"/>
    <w:rsid w:val="08AF1043"/>
    <w:rsid w:val="08D2210B"/>
    <w:rsid w:val="0ED76408"/>
    <w:rsid w:val="1BC65FCF"/>
    <w:rsid w:val="1F6D2BD4"/>
    <w:rsid w:val="227566C5"/>
    <w:rsid w:val="249B72E6"/>
    <w:rsid w:val="36124350"/>
    <w:rsid w:val="46D058FD"/>
    <w:rsid w:val="483907CF"/>
    <w:rsid w:val="4F591D7C"/>
    <w:rsid w:val="5C6F68AE"/>
    <w:rsid w:val="77FF3767"/>
    <w:rsid w:val="7B7B686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link w:val="10"/>
    <w:qFormat/>
    <w:uiPriority w:val="1"/>
    <w:pPr>
      <w:ind w:left="127"/>
    </w:pPr>
    <w:rPr>
      <w:rFonts w:ascii="宋体" w:hAnsi="宋体" w:eastAsia="宋体" w:cs="Times New Roman"/>
      <w:szCs w:val="32"/>
    </w:rPr>
  </w:style>
  <w:style w:type="paragraph" w:styleId="3">
    <w:name w:val="Date"/>
    <w:basedOn w:val="1"/>
    <w:next w:val="1"/>
    <w:link w:val="9"/>
    <w:semiHidden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List Paragraph"/>
    <w:basedOn w:val="1"/>
    <w:qFormat/>
    <w:uiPriority w:val="99"/>
    <w:pPr>
      <w:ind w:firstLine="420" w:firstLineChars="200"/>
    </w:pPr>
  </w:style>
  <w:style w:type="character" w:customStyle="1" w:styleId="9">
    <w:name w:val="日期 Char"/>
    <w:basedOn w:val="7"/>
    <w:link w:val="3"/>
    <w:semiHidden/>
    <w:qFormat/>
    <w:uiPriority w:val="99"/>
  </w:style>
  <w:style w:type="character" w:customStyle="1" w:styleId="10">
    <w:name w:val="正文文本 Char"/>
    <w:basedOn w:val="7"/>
    <w:link w:val="2"/>
    <w:qFormat/>
    <w:uiPriority w:val="1"/>
    <w:rPr>
      <w:rFonts w:ascii="宋体" w:hAnsi="宋体" w:eastAsia="宋体" w:cs="Times New Roman"/>
      <w:szCs w:val="32"/>
    </w:rPr>
  </w:style>
  <w:style w:type="character" w:customStyle="1" w:styleId="11">
    <w:name w:val="页眉 Char"/>
    <w:basedOn w:val="7"/>
    <w:link w:val="5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7"/>
    <w:link w:val="4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3260</Words>
  <Characters>3450</Characters>
  <Lines>17</Lines>
  <Paragraphs>4</Paragraphs>
  <TotalTime>0</TotalTime>
  <ScaleCrop>false</ScaleCrop>
  <LinksUpToDate>false</LinksUpToDate>
  <CharactersWithSpaces>3461</CharactersWithSpaces>
  <Application>WPS Office_12.1.0.23539_F1E327BC-269C-435d-A152-05C5408002CA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2022-01-11T01:39:00Z</dcterms:created>
  <dc:creator>Admin</dc:creator>
  <cp:lastModifiedBy>刘金鑫</cp:lastModifiedBy>
  <cp:lastPrinted>2024-03-15T00:26:00Z</cp:lastPrinted>
  <dcterms:modified xsi:type="dcterms:W3CDTF">2026-04-20T01:13:38Z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2052-12.1.0.23539</vt:lpwstr>
  </property>
  <property fmtid="{D5CDD505-2E9C-101B-9397-08002B2CF9AE}" pid="3" name="ICV">
    <vt:lpwstr>B38FDD4850694F91985414BAEA478383_13</vt:lpwstr>
  </property>
  <property fmtid="{D5CDD505-2E9C-101B-9397-08002B2CF9AE}" pid="4" name="KSOTemplateDocerSaveRecord">
    <vt:lpwstr>eyJoZGlkIjoiMjY0N2FkMTQwYTJjOGZmMGU4NzEwNjQzNzkyZTkxN2MiLCJ1c2VySWQiOiIxNDc4Nzc3MDAxIn0=</vt:lpwstr>
  </property>
</Properties>
</file>